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DE246D" w14:textId="77777777" w:rsidR="007C2F91" w:rsidRDefault="007C2F91">
      <w:pPr>
        <w:rPr>
          <w:highlight w:val="white"/>
        </w:rPr>
      </w:pPr>
    </w:p>
    <w:p w14:paraId="23283CFF" w14:textId="306295A2" w:rsidR="007C2F91" w:rsidRDefault="00016A95">
      <w:pPr>
        <w:pStyle w:val="Haupttitel"/>
        <w:rPr>
          <w:b/>
          <w:shd w:val="clear" w:color="auto" w:fill="FFFF00"/>
        </w:rPr>
      </w:pPr>
      <w:r w:rsidRPr="00C11292">
        <w:rPr>
          <w:b/>
        </w:rPr>
        <w:t>Faktenblatt</w:t>
      </w:r>
    </w:p>
    <w:p w14:paraId="1F239D37" w14:textId="0FDCDA51" w:rsidR="007C2F91" w:rsidRDefault="00016A95">
      <w:pPr>
        <w:tabs>
          <w:tab w:val="left" w:pos="1418"/>
        </w:tabs>
      </w:pPr>
      <w:r>
        <w:t>Datum der letzten Änderung:</w:t>
      </w:r>
      <w:r>
        <w:tab/>
      </w:r>
      <w:r w:rsidR="00C11292">
        <w:t>28.08.2020</w:t>
      </w:r>
    </w:p>
    <w:tbl>
      <w:tblPr>
        <w:tblStyle w:val="Tabellenraster"/>
        <w:tblW w:w="9072" w:type="dxa"/>
        <w:tblBorders>
          <w:top w:val="none" w:sz="0" w:space="0" w:color="auto"/>
          <w:left w:val="none" w:sz="0" w:space="0" w:color="auto"/>
          <w:bottom w:val="none" w:sz="0" w:space="0" w:color="auto"/>
          <w:right w:val="none" w:sz="0"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072"/>
      </w:tblGrid>
      <w:tr w:rsidR="007C2F91" w14:paraId="734D1366" w14:textId="77777777">
        <w:trPr>
          <w:cantSplit/>
          <w:trHeight w:hRule="exact" w:val="794"/>
        </w:trPr>
        <w:tc>
          <w:tcPr>
            <w:tcW w:w="9072" w:type="dxa"/>
          </w:tcPr>
          <w:p w14:paraId="34531B5A" w14:textId="77777777" w:rsidR="007C2F91" w:rsidRDefault="007C2F91"/>
        </w:tc>
      </w:tr>
      <w:tr w:rsidR="007C2F91" w14:paraId="41C410E6" w14:textId="77777777">
        <w:trPr>
          <w:cantSplit/>
          <w:trHeight w:hRule="exact" w:val="794"/>
        </w:trPr>
        <w:tc>
          <w:tcPr>
            <w:tcW w:w="9072" w:type="dxa"/>
            <w:shd w:val="clear" w:color="auto" w:fill="auto"/>
          </w:tcPr>
          <w:p w14:paraId="6EEE29BC" w14:textId="77777777" w:rsidR="007C2F91" w:rsidRDefault="007C2F91">
            <w:pPr>
              <w:rPr>
                <w:i/>
              </w:rPr>
            </w:pPr>
          </w:p>
        </w:tc>
      </w:tr>
    </w:tbl>
    <w:p w14:paraId="19C92E49" w14:textId="77777777" w:rsidR="007C2F91" w:rsidRDefault="00016A95">
      <w:pPr>
        <w:pStyle w:val="MMTitel"/>
      </w:pPr>
      <w:r>
        <w:t xml:space="preserve">Unterstützung des Luftfahrtbereichs: Faktenblatt Kreditfazilität SR </w:t>
      </w:r>
      <w:proofErr w:type="spellStart"/>
      <w:r>
        <w:t>Technics</w:t>
      </w:r>
      <w:proofErr w:type="spellEnd"/>
    </w:p>
    <w:p w14:paraId="56015B1E" w14:textId="77777777" w:rsidR="007C2F91" w:rsidRDefault="00016A95">
      <w:pPr>
        <w:pStyle w:val="MMLead"/>
      </w:pPr>
      <w:r>
        <w:t>Ausgangslage</w:t>
      </w:r>
    </w:p>
    <w:p w14:paraId="0D117B5F" w14:textId="77777777" w:rsidR="007C2F91" w:rsidRDefault="00016A95">
      <w:pPr>
        <w:spacing w:after="240"/>
        <w:rPr>
          <w:sz w:val="24"/>
        </w:rPr>
      </w:pPr>
      <w:r>
        <w:rPr>
          <w:sz w:val="24"/>
        </w:rPr>
        <w:t xml:space="preserve">Die SR </w:t>
      </w:r>
      <w:proofErr w:type="spellStart"/>
      <w:r>
        <w:rPr>
          <w:sz w:val="24"/>
        </w:rPr>
        <w:t>Technics</w:t>
      </w:r>
      <w:proofErr w:type="spellEnd"/>
      <w:r>
        <w:rPr>
          <w:sz w:val="24"/>
        </w:rPr>
        <w:t xml:space="preserve"> </w:t>
      </w:r>
      <w:proofErr w:type="spellStart"/>
      <w:r>
        <w:rPr>
          <w:sz w:val="24"/>
        </w:rPr>
        <w:t>Switzerland</w:t>
      </w:r>
      <w:proofErr w:type="spellEnd"/>
      <w:r>
        <w:rPr>
          <w:sz w:val="24"/>
        </w:rPr>
        <w:t xml:space="preserve"> AG (SRT) erbringt an allen drei Landesflughäfen mit der sogenannten «Line Maintenance»</w:t>
      </w:r>
      <w:bookmarkStart w:id="0" w:name="_GoBack"/>
      <w:bookmarkEnd w:id="0"/>
      <w:r>
        <w:rPr>
          <w:sz w:val="24"/>
        </w:rPr>
        <w:t xml:space="preserve"> eine Dienstleistung, die für den geordneten Betrieb eines Flughafens zentral ist. «Line Maintenance» umfasst denjenigen Teil der Flugzeug-Instandhaltung, die zwischen zwei Flügen oder über Nacht durchgeführt werden muss, um sicherzustellen, dass das Flugzeug für den nächsten Flug tauglich ist. Darunter fällt beispielsweise das Durchführen von standardisierten Checks oder das Wechseln von Rädern, Bremsen und Komponenten. Um die «Line Maintenance» anbieten zu können, müssen Wartungsbetriebe wie SRT über eine Zulassung sowie über verschiedene Lizenzen, etwa von Triebwerkherstellern, verfügen.</w:t>
      </w:r>
    </w:p>
    <w:p w14:paraId="72B6AD72" w14:textId="77777777" w:rsidR="007C2F91" w:rsidRDefault="00016A95">
      <w:pPr>
        <w:spacing w:after="240"/>
        <w:rPr>
          <w:sz w:val="24"/>
        </w:rPr>
      </w:pPr>
      <w:r>
        <w:rPr>
          <w:sz w:val="24"/>
        </w:rPr>
        <w:t>Aufgrund der Auswirkungen von COVID-19 kam es zu einem dramatischen Nachfragerückgang nach Flugreisen und ein grosser Anteil der Flotten der Airlines wurde stillgelegt. Da die Fluggesellschaften keine Vorauszahlungen mehr leisten und die Zahlungsfristen erheblich strecken, hat dies die Liquidität der SRT in erheblichem Masse negativ beeinflusst.</w:t>
      </w:r>
    </w:p>
    <w:p w14:paraId="6528E89F" w14:textId="77777777" w:rsidR="007C2F91" w:rsidRDefault="00016A95">
      <w:pPr>
        <w:spacing w:after="240"/>
        <w:rPr>
          <w:sz w:val="24"/>
          <w:szCs w:val="24"/>
        </w:rPr>
      </w:pPr>
      <w:r>
        <w:rPr>
          <w:sz w:val="24"/>
          <w:szCs w:val="24"/>
        </w:rPr>
        <w:t>Um Liquiditätsengpässe bei flugnahen Betrieben überbrücken zu können, hat das Parlament in der Sondersession vom Mai 2020 die Änderung des Luftfahrtgesetzes sowie einen Verpflichtungs- und einen Nachtragskredit für die Unterstützung flugnaher Betriebe verabschiedet. Die SRT gelangte an den Bund und beantragte eine Überbrückungsfinanzierung. Am 15. Juli 2020 konnte das Vertragswerk zwischen SRT, Banken und Bund unterzeichneten werden. Die Banken gewähren SRT einen Kreditrahmen und der Bund gewährt eine Bürgschaft, falls SRT den vertraglichen Verpflichtungen nicht nachkommen kann. Im Folgenden werden die wesentlichen Eckwerte des Vertragswerks erläutert.</w:t>
      </w:r>
    </w:p>
    <w:p w14:paraId="6D70FF7D" w14:textId="77777777" w:rsidR="007C2F91" w:rsidRDefault="00016A95">
      <w:pPr>
        <w:pStyle w:val="MMZwischentitel"/>
      </w:pPr>
      <w:r>
        <w:t>Eckwerte des Vertragswerks</w:t>
      </w:r>
    </w:p>
    <w:p w14:paraId="2306558C" w14:textId="2227E8A9" w:rsidR="007C2F91" w:rsidRDefault="00016A95">
      <w:pPr>
        <w:spacing w:after="240"/>
        <w:rPr>
          <w:sz w:val="24"/>
        </w:rPr>
      </w:pPr>
      <w:r>
        <w:rPr>
          <w:sz w:val="24"/>
        </w:rPr>
        <w:lastRenderedPageBreak/>
        <w:t xml:space="preserve">Die Finanzierung der SRT </w:t>
      </w:r>
      <w:r w:rsidR="007639FD">
        <w:rPr>
          <w:sz w:val="24"/>
        </w:rPr>
        <w:t>im Rahmen der Überbrückungsfina</w:t>
      </w:r>
      <w:r>
        <w:rPr>
          <w:sz w:val="24"/>
        </w:rPr>
        <w:t>n</w:t>
      </w:r>
      <w:r w:rsidR="007639FD">
        <w:rPr>
          <w:sz w:val="24"/>
        </w:rPr>
        <w:t xml:space="preserve">zierung </w:t>
      </w:r>
      <w:r>
        <w:rPr>
          <w:sz w:val="24"/>
        </w:rPr>
        <w:t xml:space="preserve">erfolgt </w:t>
      </w:r>
      <w:r w:rsidR="007639FD">
        <w:rPr>
          <w:sz w:val="24"/>
        </w:rPr>
        <w:t xml:space="preserve">mittels Aufstockung einer bestehenden </w:t>
      </w:r>
      <w:r>
        <w:rPr>
          <w:sz w:val="24"/>
        </w:rPr>
        <w:t>Kreditfazilitä</w:t>
      </w:r>
      <w:r w:rsidR="007639FD">
        <w:rPr>
          <w:sz w:val="24"/>
        </w:rPr>
        <w:t>t</w:t>
      </w:r>
      <w:r>
        <w:rPr>
          <w:sz w:val="24"/>
        </w:rPr>
        <w:t xml:space="preserve"> (Fazilität A</w:t>
      </w:r>
      <w:r w:rsidR="007639FD">
        <w:rPr>
          <w:sz w:val="24"/>
        </w:rPr>
        <w:t>)</w:t>
      </w:r>
      <w:r>
        <w:rPr>
          <w:sz w:val="24"/>
        </w:rPr>
        <w:t xml:space="preserve">. Die Fazilität A bestand schon zwischen den Banken und SRT, diese wird um </w:t>
      </w:r>
      <w:r w:rsidR="007639FD">
        <w:rPr>
          <w:sz w:val="24"/>
        </w:rPr>
        <w:t>eine z</w:t>
      </w:r>
      <w:r>
        <w:rPr>
          <w:sz w:val="24"/>
        </w:rPr>
        <w:t>us</w:t>
      </w:r>
      <w:r w:rsidR="007639FD">
        <w:rPr>
          <w:sz w:val="24"/>
        </w:rPr>
        <w:t>ä</w:t>
      </w:r>
      <w:r>
        <w:rPr>
          <w:sz w:val="24"/>
        </w:rPr>
        <w:t>tz</w:t>
      </w:r>
      <w:r w:rsidR="007639FD">
        <w:rPr>
          <w:sz w:val="24"/>
        </w:rPr>
        <w:t>liche F</w:t>
      </w:r>
      <w:r>
        <w:rPr>
          <w:sz w:val="24"/>
        </w:rPr>
        <w:t>azilität B aufgestockt. Die Fazilit</w:t>
      </w:r>
      <w:r w:rsidR="007639FD">
        <w:rPr>
          <w:sz w:val="24"/>
        </w:rPr>
        <w:t>ät</w:t>
      </w:r>
      <w:r>
        <w:rPr>
          <w:sz w:val="24"/>
        </w:rPr>
        <w:t xml:space="preserve"> B </w:t>
      </w:r>
      <w:r w:rsidR="007639FD">
        <w:rPr>
          <w:sz w:val="24"/>
        </w:rPr>
        <w:t xml:space="preserve">ist </w:t>
      </w:r>
      <w:r>
        <w:rPr>
          <w:sz w:val="24"/>
        </w:rPr>
        <w:t>als sogenannte</w:t>
      </w:r>
      <w:r w:rsidR="007639FD">
        <w:rPr>
          <w:sz w:val="24"/>
        </w:rPr>
        <w:t>r</w:t>
      </w:r>
      <w:r>
        <w:rPr>
          <w:sz w:val="24"/>
        </w:rPr>
        <w:t xml:space="preserve"> </w:t>
      </w:r>
      <w:r>
        <w:rPr>
          <w:b/>
          <w:sz w:val="24"/>
        </w:rPr>
        <w:t>revolvierende</w:t>
      </w:r>
      <w:r w:rsidR="007639FD">
        <w:rPr>
          <w:b/>
          <w:sz w:val="24"/>
        </w:rPr>
        <w:t>r</w:t>
      </w:r>
      <w:r>
        <w:rPr>
          <w:b/>
          <w:sz w:val="24"/>
        </w:rPr>
        <w:t xml:space="preserve"> Kredit</w:t>
      </w:r>
      <w:r>
        <w:rPr>
          <w:sz w:val="24"/>
        </w:rPr>
        <w:t xml:space="preserve"> ausgestaltet (Kredite, die während eines bestimmten Zeitraums dem wirtschaftlichen Rhythmus des Kreditnehmers entsprechend getilgt und wieder in Anspruch genommen werden können). Die Fazilität B umfasst eine Kreditlinie im Umfang von maximal 120 Millionen Franken, die längstens bis zum 31. Dezember 2023 bestehen wird. Während dieser Zeit kann SRT nach Bedarf Kredite bei den Banken bis zum Gesamtbetrag von maximal 120 Millionen Franken beziehen. Die einzelnen Kredite unterliegen jeweils einer Zinsperiode von einem oder drei Monaten. Ab dem 30. Juni 2021 wird die Kreditlinie zudem bis zum Ende der Laufzeit gleichmässig reduziert bzw. die SRT ist verpflichtet, regelmässige Amortisationszahlungen zu leisten.</w:t>
      </w:r>
    </w:p>
    <w:p w14:paraId="450CAE81" w14:textId="009994EF" w:rsidR="007C2F91" w:rsidRDefault="00016A95">
      <w:pPr>
        <w:spacing w:after="240"/>
        <w:rPr>
          <w:sz w:val="24"/>
        </w:rPr>
      </w:pPr>
      <w:r>
        <w:rPr>
          <w:sz w:val="24"/>
        </w:rPr>
        <w:t xml:space="preserve">Die </w:t>
      </w:r>
      <w:r w:rsidR="007639FD">
        <w:rPr>
          <w:sz w:val="24"/>
        </w:rPr>
        <w:t xml:space="preserve">Fazilität B </w:t>
      </w:r>
      <w:r>
        <w:rPr>
          <w:sz w:val="24"/>
        </w:rPr>
        <w:t xml:space="preserve">wurde SRT unter der Voraussetzung gewährt, dass Banken und Bund </w:t>
      </w:r>
      <w:r>
        <w:rPr>
          <w:b/>
          <w:sz w:val="24"/>
        </w:rPr>
        <w:t>angemessene Sicherheiten</w:t>
      </w:r>
      <w:r>
        <w:rPr>
          <w:sz w:val="24"/>
        </w:rPr>
        <w:t xml:space="preserve"> erhalten. So wurden die Aktien der SRT gegenüber den Banken verpfändet und wesentliche konzerninterne Darlehen an die Banken abgetreten. Zudem mussten die Aktionärinnen auf ihren Forderungen gegenüber SRT Rangrücktritte erklären. Sollte SRT den Verpflichtungen aus dem Kreditvertrag nicht mehr nachkommen, können die Banken die Sicherheiten zur Deckung der ausstehenden Forderungen verwerten.</w:t>
      </w:r>
    </w:p>
    <w:p w14:paraId="128F721E" w14:textId="77777777" w:rsidR="007C2F91" w:rsidRDefault="00016A95">
      <w:pPr>
        <w:spacing w:after="240"/>
        <w:rPr>
          <w:sz w:val="24"/>
        </w:rPr>
      </w:pPr>
      <w:r>
        <w:rPr>
          <w:sz w:val="24"/>
        </w:rPr>
        <w:t xml:space="preserve">Erst wenn die Verwertungserlöse der Sicherheiten nicht ausreichen, um alle ausstehenden Forderungen der Banken zu decken, können die Banken auf den Bund zurückgreifen, der die Fazilität B inkl. Zinsen und Kommissionen zu 60 Prozent </w:t>
      </w:r>
      <w:r>
        <w:rPr>
          <w:b/>
          <w:sz w:val="24"/>
        </w:rPr>
        <w:t>verbürgt</w:t>
      </w:r>
      <w:r>
        <w:rPr>
          <w:sz w:val="24"/>
        </w:rPr>
        <w:t xml:space="preserve"> hat (Ausfallbürgschaft; max. Ausfallrisiko Bund CHF 79,2 Mio.). Die restlichen 40 Prozent des Ausfallrisikos tragen die Banken. Der Bund bürgt gegenüber den Banken sowohl für die Rückzahlung der Kredite als auch für die anteiligen, aufgelaufenen Zinsen und Kommissionen.</w:t>
      </w:r>
    </w:p>
    <w:p w14:paraId="2419A7EA" w14:textId="77777777" w:rsidR="007C2F91" w:rsidRDefault="00016A95">
      <w:pPr>
        <w:spacing w:after="240"/>
        <w:rPr>
          <w:sz w:val="24"/>
        </w:rPr>
      </w:pPr>
      <w:r>
        <w:rPr>
          <w:sz w:val="24"/>
        </w:rPr>
        <w:t xml:space="preserve">Nach dem gleichen Schlüssel werden auch die </w:t>
      </w:r>
      <w:r>
        <w:rPr>
          <w:b/>
          <w:sz w:val="24"/>
        </w:rPr>
        <w:t>Einnahmen</w:t>
      </w:r>
      <w:r>
        <w:rPr>
          <w:sz w:val="24"/>
        </w:rPr>
        <w:t xml:space="preserve"> aus der Fazilität B verteilt. Die Banken leiten dem Bund 60 Prozent der Beträge weiter, welche von SRT zur Bezahlung der Zinsmarge und bestimmter Kommissionen </w:t>
      </w:r>
      <w:r>
        <w:rPr>
          <w:b/>
          <w:sz w:val="24"/>
        </w:rPr>
        <w:t>für die Fazilität B</w:t>
      </w:r>
      <w:r>
        <w:rPr>
          <w:sz w:val="24"/>
        </w:rPr>
        <w:t xml:space="preserve"> an die Banken geleistet werden. </w:t>
      </w:r>
    </w:p>
    <w:p w14:paraId="074B8CA2" w14:textId="5C5121FF" w:rsidR="007C2F91" w:rsidRDefault="00016A95">
      <w:pPr>
        <w:pStyle w:val="Listenabsatz"/>
        <w:numPr>
          <w:ilvl w:val="0"/>
          <w:numId w:val="48"/>
        </w:numPr>
        <w:spacing w:after="240"/>
        <w:rPr>
          <w:sz w:val="24"/>
        </w:rPr>
      </w:pPr>
      <w:r>
        <w:rPr>
          <w:sz w:val="24"/>
        </w:rPr>
        <w:t>Die Verzinsung beträgt</w:t>
      </w:r>
      <w:r>
        <w:rPr>
          <w:i/>
          <w:sz w:val="24"/>
        </w:rPr>
        <w:t xml:space="preserve"> </w:t>
      </w:r>
      <w:r>
        <w:rPr>
          <w:sz w:val="24"/>
        </w:rPr>
        <w:t xml:space="preserve">LIBOR, mindestens jedoch 0 Prozent, plus eine Zinsmarge für die Fazilität B. </w:t>
      </w:r>
    </w:p>
    <w:p w14:paraId="785EE768" w14:textId="77777777" w:rsidR="007C2F91" w:rsidRDefault="00016A95">
      <w:pPr>
        <w:pStyle w:val="Listenabsatz"/>
        <w:numPr>
          <w:ilvl w:val="0"/>
          <w:numId w:val="48"/>
        </w:numPr>
        <w:spacing w:after="240"/>
        <w:rPr>
          <w:sz w:val="24"/>
        </w:rPr>
      </w:pPr>
      <w:r>
        <w:rPr>
          <w:sz w:val="24"/>
        </w:rPr>
        <w:t xml:space="preserve">Die </w:t>
      </w:r>
      <w:proofErr w:type="spellStart"/>
      <w:r>
        <w:rPr>
          <w:sz w:val="24"/>
        </w:rPr>
        <w:t>Commitment</w:t>
      </w:r>
      <w:proofErr w:type="spellEnd"/>
      <w:r>
        <w:rPr>
          <w:sz w:val="24"/>
        </w:rPr>
        <w:t xml:space="preserve"> Fee beträgt ein Prozentanteil der Zinsmarge auf den nicht beanspruchten Mitteln; zahlbar quartalsweise. </w:t>
      </w:r>
    </w:p>
    <w:p w14:paraId="6BE088B3" w14:textId="77777777" w:rsidR="007C2F91" w:rsidRDefault="00016A95">
      <w:pPr>
        <w:pStyle w:val="Listenabsatz"/>
        <w:numPr>
          <w:ilvl w:val="0"/>
          <w:numId w:val="48"/>
        </w:numPr>
        <w:spacing w:after="240"/>
        <w:rPr>
          <w:sz w:val="24"/>
        </w:rPr>
      </w:pPr>
      <w:r>
        <w:rPr>
          <w:sz w:val="24"/>
        </w:rPr>
        <w:t xml:space="preserve">Die </w:t>
      </w:r>
      <w:proofErr w:type="spellStart"/>
      <w:r>
        <w:rPr>
          <w:sz w:val="24"/>
        </w:rPr>
        <w:t>Participation</w:t>
      </w:r>
      <w:proofErr w:type="spellEnd"/>
      <w:r>
        <w:rPr>
          <w:sz w:val="24"/>
        </w:rPr>
        <w:t xml:space="preserve"> Fee</w:t>
      </w:r>
      <w:r>
        <w:rPr>
          <w:i/>
          <w:sz w:val="24"/>
        </w:rPr>
        <w:t xml:space="preserve"> </w:t>
      </w:r>
      <w:r>
        <w:rPr>
          <w:sz w:val="24"/>
        </w:rPr>
        <w:t>beträgt</w:t>
      </w:r>
      <w:r>
        <w:rPr>
          <w:i/>
          <w:sz w:val="24"/>
        </w:rPr>
        <w:t xml:space="preserve"> </w:t>
      </w:r>
      <w:r>
        <w:rPr>
          <w:sz w:val="24"/>
        </w:rPr>
        <w:t>ein Prozentanteil des Gesamtvolumens der Fazilität B als Einmalzahlung bei Vertragsunterzeichnung.</w:t>
      </w:r>
    </w:p>
    <w:p w14:paraId="257FAC22" w14:textId="3823C102" w:rsidR="003F38D3" w:rsidRDefault="00184D35">
      <w:pPr>
        <w:spacing w:after="240"/>
        <w:rPr>
          <w:sz w:val="24"/>
        </w:rPr>
      </w:pPr>
      <w:r>
        <w:rPr>
          <w:sz w:val="24"/>
        </w:rPr>
        <w:t>Die Banken können sich bei der Schweizerischen Nationalbank (SNB) refinanzieren. Erfolgt die Refinanzierung der Banken bei der SNB zu Negativzinsen, werden auch diese anteilig an den Bund weitergeleitet, unter Abzug der Kapital</w:t>
      </w:r>
      <w:r w:rsidR="008579EB">
        <w:rPr>
          <w:sz w:val="24"/>
        </w:rPr>
        <w:t>-</w:t>
      </w:r>
      <w:r>
        <w:rPr>
          <w:sz w:val="24"/>
        </w:rPr>
        <w:t xml:space="preserve"> und </w:t>
      </w:r>
      <w:proofErr w:type="spellStart"/>
      <w:r>
        <w:rPr>
          <w:sz w:val="24"/>
        </w:rPr>
        <w:t>Handlingkosten</w:t>
      </w:r>
      <w:proofErr w:type="spellEnd"/>
      <w:r>
        <w:rPr>
          <w:sz w:val="24"/>
        </w:rPr>
        <w:t>, welche die Banken zur Schadloshaltung zurückbehalten.</w:t>
      </w:r>
    </w:p>
    <w:p w14:paraId="1FE9280D" w14:textId="5B389A2E" w:rsidR="007C2F91" w:rsidRDefault="00016A95">
      <w:pPr>
        <w:spacing w:after="240"/>
        <w:rPr>
          <w:sz w:val="24"/>
        </w:rPr>
      </w:pPr>
      <w:r>
        <w:rPr>
          <w:sz w:val="24"/>
        </w:rPr>
        <w:t xml:space="preserve">Die Unterstützung von SRT durch den Bund ist an den Grundsatz der </w:t>
      </w:r>
      <w:r>
        <w:rPr>
          <w:b/>
          <w:sz w:val="24"/>
        </w:rPr>
        <w:t>Subsidiarität</w:t>
      </w:r>
      <w:r>
        <w:rPr>
          <w:sz w:val="24"/>
        </w:rPr>
        <w:t xml:space="preserve"> geknüpft. Die Verträge wurden so ausgestaltet, dass die Finanzhilfe durch den Bund erst zum Tragen kommt, wenn sowohl die Aktionärinnen der SRT als auch die Gläubigerbanken all ihre Möglichkeiten zur Unterstützung der SRT ausgeschöpft haben. Die Aktionärinnen mussten unter anderem offene Forderungen begleichen und auf </w:t>
      </w:r>
      <w:r>
        <w:rPr>
          <w:sz w:val="24"/>
        </w:rPr>
        <w:lastRenderedPageBreak/>
        <w:t>ihren Forderungen gegenüber SRT Rangrücktritte erklären. Die Banken mussten sich damit einverstanden erklären, dass die bestehende Fazilität A vollständig in Anspruch genommen sein muss, bevor die Zusatzfazilität B beansprucht werden kann. Zudem wurde die Laufzeiten der Fazilität A und B vereinheitlicht. Darüber hinaus erfolgen Kürzungen der Kreditlinie bei der der Zusatzfazilität B bzw. werden Amortisationszahlungen bis zur vollständigen Rückzahlung der Zusatzfazilität B vorab nur dieser angerechnet.</w:t>
      </w:r>
    </w:p>
    <w:p w14:paraId="4EB2394A" w14:textId="77777777" w:rsidR="007C2F91" w:rsidRDefault="00016A95">
      <w:pPr>
        <w:spacing w:after="240"/>
        <w:rPr>
          <w:sz w:val="24"/>
        </w:rPr>
      </w:pPr>
      <w:r>
        <w:rPr>
          <w:sz w:val="24"/>
        </w:rPr>
        <w:t xml:space="preserve">SRT ist in einen internationalen Konzern eingegliedert. Ein sogenanntes </w:t>
      </w:r>
      <w:r>
        <w:rPr>
          <w:b/>
          <w:sz w:val="24"/>
        </w:rPr>
        <w:t>«</w:t>
      </w:r>
      <w:proofErr w:type="spellStart"/>
      <w:r>
        <w:rPr>
          <w:b/>
          <w:sz w:val="24"/>
        </w:rPr>
        <w:t>Ringfencing</w:t>
      </w:r>
      <w:proofErr w:type="spellEnd"/>
      <w:r>
        <w:rPr>
          <w:b/>
          <w:sz w:val="24"/>
        </w:rPr>
        <w:t>»</w:t>
      </w:r>
      <w:r>
        <w:rPr>
          <w:i/>
          <w:sz w:val="24"/>
        </w:rPr>
        <w:t xml:space="preserve"> </w:t>
      </w:r>
      <w:r>
        <w:rPr>
          <w:sz w:val="24"/>
        </w:rPr>
        <w:t xml:space="preserve">(umfassend die SRT und die Muttergesellschaft SR </w:t>
      </w:r>
      <w:proofErr w:type="spellStart"/>
      <w:r>
        <w:rPr>
          <w:sz w:val="24"/>
        </w:rPr>
        <w:t>Technics</w:t>
      </w:r>
      <w:proofErr w:type="spellEnd"/>
      <w:r>
        <w:rPr>
          <w:sz w:val="24"/>
        </w:rPr>
        <w:t xml:space="preserve"> </w:t>
      </w:r>
      <w:proofErr w:type="spellStart"/>
      <w:r>
        <w:rPr>
          <w:sz w:val="24"/>
        </w:rPr>
        <w:t>Holdco</w:t>
      </w:r>
      <w:proofErr w:type="spellEnd"/>
      <w:r>
        <w:rPr>
          <w:sz w:val="24"/>
        </w:rPr>
        <w:t xml:space="preserve"> I GmbH)</w:t>
      </w:r>
      <w:r>
        <w:rPr>
          <w:sz w:val="20"/>
          <w:szCs w:val="20"/>
        </w:rPr>
        <w:t xml:space="preserve"> </w:t>
      </w:r>
      <w:r>
        <w:rPr>
          <w:sz w:val="24"/>
        </w:rPr>
        <w:t xml:space="preserve">sorgt dafür, dass keine Mittel aus den Fazilitäten an die Muttergesellschaften von SRT abfliessen. Die Verwendung der finanziellen Mittel ist ausschliesslich auf die Finanzierung des operativen Betriebs (ohne Übernahmen, Akquisitionen) beschränkt, es sind grundsätzlich nur Transaktionen erlaubt, die einem Drittvergleich standhalten («at </w:t>
      </w:r>
      <w:proofErr w:type="spellStart"/>
      <w:r>
        <w:rPr>
          <w:sz w:val="24"/>
        </w:rPr>
        <w:t>arm’s</w:t>
      </w:r>
      <w:proofErr w:type="spellEnd"/>
      <w:r>
        <w:rPr>
          <w:sz w:val="24"/>
        </w:rPr>
        <w:t xml:space="preserve"> </w:t>
      </w:r>
      <w:proofErr w:type="spellStart"/>
      <w:r>
        <w:rPr>
          <w:sz w:val="24"/>
        </w:rPr>
        <w:t>length</w:t>
      </w:r>
      <w:proofErr w:type="spellEnd"/>
      <w:r>
        <w:rPr>
          <w:sz w:val="24"/>
        </w:rPr>
        <w:t xml:space="preserve">»), die SRT darf während der Laufzeit der Zusatzfazilität B insbesondere keine Dividenden an ihre Aktionärinnen (HNA und </w:t>
      </w:r>
      <w:proofErr w:type="spellStart"/>
      <w:r>
        <w:rPr>
          <w:sz w:val="24"/>
        </w:rPr>
        <w:t>Mubadala</w:t>
      </w:r>
      <w:proofErr w:type="spellEnd"/>
      <w:r>
        <w:rPr>
          <w:sz w:val="24"/>
        </w:rPr>
        <w:t>) ausschütten, kein Aktienkapital zurückzahlen und die SRT ist in der Gewährung und Rückführung von Darlehen und Garantien sowie bezüglich «Aktionärs- und Intra-Gruppen-Darlehen» stark eingeschränkt. Es besteht zudem grundsätzlich ein Verbot der weiteren Verschuldung.</w:t>
      </w:r>
    </w:p>
    <w:p w14:paraId="264C9910" w14:textId="77777777" w:rsidR="007C2F91" w:rsidRDefault="00016A95">
      <w:pPr>
        <w:spacing w:after="240"/>
        <w:rPr>
          <w:sz w:val="24"/>
        </w:rPr>
      </w:pPr>
      <w:r>
        <w:rPr>
          <w:sz w:val="24"/>
        </w:rPr>
        <w:t xml:space="preserve">Ergänzt wird das Vertragswerk durch die Vereinbarung zwischen dem Bund und SRT über die </w:t>
      </w:r>
      <w:r>
        <w:rPr>
          <w:b/>
          <w:sz w:val="24"/>
        </w:rPr>
        <w:t>bürgschaftsbezogenen Auflagen</w:t>
      </w:r>
      <w:r>
        <w:rPr>
          <w:sz w:val="24"/>
        </w:rPr>
        <w:t>. Diese Vereinbarung soll unter anderem sicherstellen, dass SRT den Geschäftsstandort Schweiz (an allen drei Landesflughäfen) im Bereich der «Line Maintenance» aufrechterhält, weiterentwickelt und die dafür notwendigen Ressourcen zur Verfügung stellt. Die Marke sowie der Hauptsitz in der Schweiz sollen bestehen bleiben und die Arbeitsplätze in der Schweiz bestmöglich erhalten, wobei mit den Sozialpartnern sozialverträgliche Lösungen gesucht werden müssen, sofern ein Personalabbau unvermeidlich bzw. im Rahmen des Reorganisationsprojekts bereits geplant ist.». Das BAZL überwacht, ob SRT diese Auflagen einhält.</w:t>
      </w:r>
    </w:p>
    <w:sectPr w:rsidR="007C2F91">
      <w:headerReference w:type="default" r:id="rId8"/>
      <w:footerReference w:type="default" r:id="rId9"/>
      <w:headerReference w:type="first" r:id="rId10"/>
      <w:footerReference w:type="first" r:id="rId11"/>
      <w:pgSz w:w="11906" w:h="16838" w:code="9"/>
      <w:pgMar w:top="1134" w:right="1134" w:bottom="907" w:left="1701" w:header="68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B4192E" w14:textId="77777777" w:rsidR="003B13E9" w:rsidRDefault="003B13E9">
      <w:pPr>
        <w:spacing w:line="240" w:lineRule="auto"/>
      </w:pPr>
      <w:r>
        <w:separator/>
      </w:r>
    </w:p>
  </w:endnote>
  <w:endnote w:type="continuationSeparator" w:id="0">
    <w:p w14:paraId="15B52D0A" w14:textId="77777777" w:rsidR="003B13E9" w:rsidRDefault="003B13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69" w:type="dxa"/>
      <w:tblLayout w:type="fixed"/>
      <w:tblCellMar>
        <w:left w:w="0" w:type="dxa"/>
        <w:right w:w="0" w:type="dxa"/>
      </w:tblCellMar>
      <w:tblLook w:val="04A0" w:firstRow="1" w:lastRow="0" w:firstColumn="1" w:lastColumn="0" w:noHBand="0" w:noVBand="1"/>
    </w:tblPr>
    <w:tblGrid>
      <w:gridCol w:w="9469"/>
    </w:tblGrid>
    <w:tr w:rsidR="007C2F91" w14:paraId="7D281259" w14:textId="77777777">
      <w:trPr>
        <w:cantSplit/>
      </w:trPr>
      <w:tc>
        <w:tcPr>
          <w:tcW w:w="9469" w:type="dxa"/>
        </w:tcPr>
        <w:p w14:paraId="3A522A28" w14:textId="77777777" w:rsidR="007C2F91" w:rsidRDefault="007C2F91">
          <w:pPr>
            <w:pStyle w:val="Referenz"/>
          </w:pPr>
        </w:p>
      </w:tc>
    </w:tr>
    <w:tr w:rsidR="007C2F91" w14:paraId="263C223D" w14:textId="77777777">
      <w:trPr>
        <w:cantSplit/>
      </w:trPr>
      <w:tc>
        <w:tcPr>
          <w:tcW w:w="9469" w:type="dxa"/>
        </w:tcPr>
        <w:p w14:paraId="0554EE06" w14:textId="78E03F91" w:rsidR="007C2F91" w:rsidRDefault="00016A95">
          <w:pPr>
            <w:pStyle w:val="Referenz"/>
            <w:jc w:val="right"/>
          </w:pPr>
          <w:r>
            <w:fldChar w:fldCharType="begin"/>
          </w:r>
          <w:r>
            <w:instrText xml:space="preserve"> PAGE \* Arabic </w:instrText>
          </w:r>
          <w:r>
            <w:fldChar w:fldCharType="separate"/>
          </w:r>
          <w:r w:rsidR="006D7870">
            <w:rPr>
              <w:noProof/>
            </w:rPr>
            <w:t>2</w:t>
          </w:r>
          <w:r>
            <w:fldChar w:fldCharType="end"/>
          </w:r>
          <w:r>
            <w:t>/</w:t>
          </w:r>
          <w:fldSimple w:instr=" NUMPAGES ">
            <w:r w:rsidR="006D7870">
              <w:rPr>
                <w:noProof/>
              </w:rPr>
              <w:t>3</w:t>
            </w:r>
          </w:fldSimple>
        </w:p>
      </w:tc>
    </w:tr>
    <w:tr w:rsidR="007C2F91" w14:paraId="7D1A74A9" w14:textId="77777777">
      <w:trPr>
        <w:cantSplit/>
        <w:trHeight w:hRule="exact" w:val="363"/>
      </w:trPr>
      <w:tc>
        <w:tcPr>
          <w:tcW w:w="9469" w:type="dxa"/>
        </w:tcPr>
        <w:p w14:paraId="6BFA51A1" w14:textId="77777777" w:rsidR="007C2F91" w:rsidRDefault="007C2F91">
          <w:pPr>
            <w:pStyle w:val="Referenz"/>
          </w:pPr>
        </w:p>
      </w:tc>
    </w:tr>
  </w:tbl>
  <w:p w14:paraId="7AFA7C3D" w14:textId="77777777" w:rsidR="007C2F91" w:rsidRDefault="007C2F91">
    <w:pPr>
      <w:pStyle w:val="Absatz1Punkt"/>
    </w:pPr>
  </w:p>
  <w:p w14:paraId="767D324F" w14:textId="77777777" w:rsidR="007C2F91" w:rsidRDefault="007C2F9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56" w:type="dxa"/>
      <w:tblLayout w:type="fixed"/>
      <w:tblCellMar>
        <w:left w:w="0" w:type="dxa"/>
        <w:right w:w="0" w:type="dxa"/>
      </w:tblCellMar>
      <w:tblLook w:val="04A0" w:firstRow="1" w:lastRow="0" w:firstColumn="1" w:lastColumn="0" w:noHBand="0" w:noVBand="1"/>
    </w:tblPr>
    <w:tblGrid>
      <w:gridCol w:w="4253"/>
      <w:gridCol w:w="5103"/>
    </w:tblGrid>
    <w:tr w:rsidR="007C2F91" w14:paraId="0969D23D" w14:textId="77777777">
      <w:trPr>
        <w:cantSplit/>
      </w:trPr>
      <w:tc>
        <w:tcPr>
          <w:tcW w:w="4253" w:type="dxa"/>
        </w:tcPr>
        <w:p w14:paraId="7EABA381" w14:textId="77777777" w:rsidR="007C2F91" w:rsidRDefault="007C2F91">
          <w:pPr>
            <w:pStyle w:val="Referenz"/>
            <w:rPr>
              <w:noProof/>
            </w:rPr>
          </w:pPr>
        </w:p>
      </w:tc>
      <w:tc>
        <w:tcPr>
          <w:tcW w:w="5103" w:type="dxa"/>
        </w:tcPr>
        <w:p w14:paraId="19AC7DFB" w14:textId="77777777" w:rsidR="007C2F91" w:rsidRDefault="007C2F91">
          <w:pPr>
            <w:pStyle w:val="Referenz"/>
            <w:rPr>
              <w:noProof/>
            </w:rPr>
          </w:pPr>
        </w:p>
      </w:tc>
    </w:tr>
    <w:tr w:rsidR="007C2F91" w14:paraId="390BD1B4" w14:textId="77777777">
      <w:trPr>
        <w:cantSplit/>
      </w:trPr>
      <w:tc>
        <w:tcPr>
          <w:tcW w:w="4253" w:type="dxa"/>
        </w:tcPr>
        <w:p w14:paraId="3BB32FA6" w14:textId="77777777" w:rsidR="007C2F91" w:rsidRDefault="007C2F91">
          <w:pPr>
            <w:pStyle w:val="Referenz"/>
            <w:rPr>
              <w:noProof/>
            </w:rPr>
          </w:pPr>
        </w:p>
      </w:tc>
      <w:tc>
        <w:tcPr>
          <w:tcW w:w="5103" w:type="dxa"/>
        </w:tcPr>
        <w:p w14:paraId="6437C3B3" w14:textId="77777777" w:rsidR="007C2F91" w:rsidRDefault="00016A95">
          <w:pPr>
            <w:pStyle w:val="Referenz"/>
          </w:pPr>
          <w:r>
            <w:rPr>
              <w:noProof/>
            </w:rPr>
            <w:t xml:space="preserve">Bundesgasse 3, </w:t>
          </w:r>
          <w:r>
            <w:t>3003 Bern</w:t>
          </w:r>
        </w:p>
        <w:p w14:paraId="4A5BA668" w14:textId="77777777" w:rsidR="007C2F91" w:rsidRDefault="00016A95">
          <w:pPr>
            <w:pStyle w:val="Referenz"/>
          </w:pPr>
          <w:r>
            <w:t>www.efv.admin.ch</w:t>
          </w:r>
        </w:p>
      </w:tc>
    </w:tr>
    <w:tr w:rsidR="007C2F91" w14:paraId="517D1E0C" w14:textId="77777777">
      <w:trPr>
        <w:cantSplit/>
        <w:trHeight w:hRule="exact" w:val="363"/>
      </w:trPr>
      <w:tc>
        <w:tcPr>
          <w:tcW w:w="4253" w:type="dxa"/>
        </w:tcPr>
        <w:p w14:paraId="1578ABC7" w14:textId="77777777" w:rsidR="007C2F91" w:rsidRDefault="007C2F91">
          <w:pPr>
            <w:pStyle w:val="Referenz"/>
            <w:rPr>
              <w:noProof/>
            </w:rPr>
          </w:pPr>
        </w:p>
      </w:tc>
      <w:tc>
        <w:tcPr>
          <w:tcW w:w="5103" w:type="dxa"/>
        </w:tcPr>
        <w:p w14:paraId="5162AC69" w14:textId="77777777" w:rsidR="007C2F91" w:rsidRDefault="007C2F91">
          <w:pPr>
            <w:pStyle w:val="Referenz"/>
            <w:rPr>
              <w:noProof/>
            </w:rPr>
          </w:pPr>
        </w:p>
      </w:tc>
    </w:tr>
  </w:tbl>
  <w:p w14:paraId="47F68D66" w14:textId="77777777" w:rsidR="007C2F91" w:rsidRDefault="007C2F91">
    <w:pPr>
      <w:pStyle w:val="Absatz1Punkt"/>
    </w:pPr>
  </w:p>
  <w:p w14:paraId="589B5021" w14:textId="77777777" w:rsidR="007C2F91" w:rsidRDefault="007C2F9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06DC73" w14:textId="77777777" w:rsidR="003B13E9" w:rsidRDefault="003B13E9">
      <w:pPr>
        <w:spacing w:line="240" w:lineRule="auto"/>
      </w:pPr>
      <w:r>
        <w:separator/>
      </w:r>
    </w:p>
  </w:footnote>
  <w:footnote w:type="continuationSeparator" w:id="0">
    <w:p w14:paraId="62A61719" w14:textId="77777777" w:rsidR="003B13E9" w:rsidRDefault="003B13E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E2758" w14:textId="0ECC7CB5" w:rsidR="007C2F91" w:rsidRDefault="00016A95">
    <w:pPr>
      <w:pStyle w:val="Kopfzeile"/>
    </w:pPr>
    <w:fldSimple w:instr=" STYLEREF &quot;Haupttitel&quot; ">
      <w:r w:rsidR="006D7870">
        <w:rPr>
          <w:noProof/>
        </w:rPr>
        <w:t>Faktenblatt</w:t>
      </w:r>
    </w:fldSimple>
    <w:r>
      <w:t xml:space="preserve"> </w:t>
    </w:r>
  </w:p>
  <w:p w14:paraId="50583D33" w14:textId="77777777" w:rsidR="007C2F91" w:rsidRDefault="007C2F9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enraster"/>
      <w:tblW w:w="9951" w:type="dxa"/>
      <w:tblInd w:w="-5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4848"/>
      <w:gridCol w:w="5103"/>
    </w:tblGrid>
    <w:tr w:rsidR="007C2F91" w14:paraId="18FAD4FD" w14:textId="77777777">
      <w:trPr>
        <w:cantSplit/>
        <w:trHeight w:hRule="exact" w:val="1814"/>
      </w:trPr>
      <w:tc>
        <w:tcPr>
          <w:tcW w:w="4848" w:type="dxa"/>
        </w:tcPr>
        <w:p w14:paraId="6460CFFF" w14:textId="77777777" w:rsidR="007C2F91" w:rsidRDefault="00016A95">
          <w:pPr>
            <w:pStyle w:val="Kopfzeile"/>
          </w:pPr>
          <w:r>
            <w:rPr>
              <w:noProof/>
              <w:lang w:eastAsia="de-CH"/>
            </w:rPr>
            <w:drawing>
              <wp:inline distT="0" distB="0" distL="0" distR="0" wp14:anchorId="64F2BF3D" wp14:editId="4F9F62B9">
                <wp:extent cx="1981200" cy="647700"/>
                <wp:effectExtent l="19050" t="0" r="0" b="0"/>
                <wp:docPr id="4" name="Grafik 0" descr="Logo_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w.gif"/>
                        <pic:cNvPicPr/>
                      </pic:nvPicPr>
                      <pic:blipFill>
                        <a:blip r:embed="rId1" cstate="print"/>
                        <a:stretch>
                          <a:fillRect/>
                        </a:stretch>
                      </pic:blipFill>
                      <pic:spPr>
                        <a:xfrm>
                          <a:off x="0" y="0"/>
                          <a:ext cx="1981200" cy="647700"/>
                        </a:xfrm>
                        <a:prstGeom prst="rect">
                          <a:avLst/>
                        </a:prstGeom>
                      </pic:spPr>
                    </pic:pic>
                  </a:graphicData>
                </a:graphic>
              </wp:inline>
            </w:drawing>
          </w:r>
        </w:p>
        <w:p w14:paraId="71184472" w14:textId="77777777" w:rsidR="007C2F91" w:rsidRDefault="007C2F91">
          <w:pPr>
            <w:pStyle w:val="Kopfzeile"/>
          </w:pPr>
        </w:p>
      </w:tc>
      <w:tc>
        <w:tcPr>
          <w:tcW w:w="5103" w:type="dxa"/>
        </w:tcPr>
        <w:p w14:paraId="4B06CF50" w14:textId="77777777" w:rsidR="007C2F91" w:rsidRDefault="00016A95">
          <w:pPr>
            <w:pStyle w:val="KopfzeileDepartement"/>
          </w:pPr>
          <w:r>
            <w:t>Eidgenössisches Finanzdepartement EFD</w:t>
          </w:r>
        </w:p>
        <w:p w14:paraId="5F4BFA51" w14:textId="77777777" w:rsidR="007C2F91" w:rsidRDefault="00016A95">
          <w:pPr>
            <w:pStyle w:val="KopfzeileFett"/>
          </w:pPr>
          <w:r>
            <w:t>Eidgenössische Finanzverwaltung EFV</w:t>
          </w:r>
        </w:p>
        <w:p w14:paraId="00CECF7E" w14:textId="77777777" w:rsidR="007C2F91" w:rsidRDefault="007C2F91">
          <w:pPr>
            <w:pStyle w:val="Kopfzeile"/>
          </w:pPr>
        </w:p>
      </w:tc>
    </w:tr>
  </w:tbl>
  <w:p w14:paraId="69C9BAEF" w14:textId="77777777" w:rsidR="007C2F91" w:rsidRDefault="007C2F9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6DA7D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EC82E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4940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E2A90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66CFF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2C1D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72F7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D2CA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2E151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E14007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816DB"/>
    <w:multiLevelType w:val="multilevel"/>
    <w:tmpl w:val="1630A28E"/>
    <w:lvl w:ilvl="0">
      <w:start w:val="1"/>
      <w:numFmt w:val="decimal"/>
      <w:lvlText w:val="%1."/>
      <w:lvlJc w:val="left"/>
      <w:pPr>
        <w:ind w:left="360" w:hanging="360"/>
      </w:pPr>
      <w:rPr>
        <w:rFonts w:ascii="Arial" w:hAnsi="Arial" w:hint="default"/>
        <w:b/>
        <w:i w:val="0"/>
        <w:color w:val="auto"/>
        <w:sz w:val="20"/>
        <w:u w:val="none"/>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EF039B9"/>
    <w:multiLevelType w:val="hybridMultilevel"/>
    <w:tmpl w:val="5582F628"/>
    <w:lvl w:ilvl="0" w:tplc="374A7DC0">
      <w:start w:val="1"/>
      <w:numFmt w:val="bullet"/>
      <w:pStyle w:val="Aufzhlung1CDB"/>
      <w:lvlText w:val=""/>
      <w:lvlJc w:val="left"/>
      <w:pPr>
        <w:tabs>
          <w:tab w:val="num" w:pos="284"/>
        </w:tabs>
        <w:ind w:left="284" w:hanging="284"/>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6B10FE"/>
    <w:multiLevelType w:val="hybridMultilevel"/>
    <w:tmpl w:val="73645E9C"/>
    <w:lvl w:ilvl="0" w:tplc="AFD28DC6">
      <w:start w:val="1"/>
      <w:numFmt w:val="decimal"/>
      <w:lvlText w:val="%1."/>
      <w:lvlJc w:val="left"/>
      <w:pPr>
        <w:ind w:left="360" w:hanging="360"/>
      </w:pPr>
      <w:rPr>
        <w:rFonts w:ascii="Arial" w:hAnsi="Arial" w:hint="default"/>
        <w:b/>
        <w:i w:val="0"/>
        <w:color w:val="auto"/>
        <w:sz w:val="20"/>
        <w:u w:val="none"/>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13" w15:restartNumberingAfterBreak="0">
    <w:nsid w:val="12D36BE1"/>
    <w:multiLevelType w:val="hybridMultilevel"/>
    <w:tmpl w:val="9FCAB7AC"/>
    <w:lvl w:ilvl="0" w:tplc="DE620B20">
      <w:start w:val="1"/>
      <w:numFmt w:val="decimal"/>
      <w:lvlText w:val="%1."/>
      <w:lvlJc w:val="left"/>
      <w:pPr>
        <w:ind w:left="360" w:hanging="360"/>
      </w:pPr>
      <w:rPr>
        <w:rFonts w:ascii="Arial" w:hAnsi="Arial" w:hint="default"/>
        <w:b/>
        <w:i w:val="0"/>
        <w:color w:val="auto"/>
        <w:sz w:val="20"/>
        <w:u w:val="none"/>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14" w15:restartNumberingAfterBreak="0">
    <w:nsid w:val="13C35B83"/>
    <w:multiLevelType w:val="hybridMultilevel"/>
    <w:tmpl w:val="B8008768"/>
    <w:lvl w:ilvl="0" w:tplc="B2863EF2">
      <w:start w:val="1"/>
      <w:numFmt w:val="decimal"/>
      <w:pStyle w:val="AufzhlungNumm3CDB"/>
      <w:lvlText w:val="%1."/>
      <w:lvlJc w:val="left"/>
      <w:pPr>
        <w:tabs>
          <w:tab w:val="num" w:pos="851"/>
        </w:tabs>
        <w:ind w:left="851" w:hanging="284"/>
      </w:pPr>
      <w:rPr>
        <w:rFonts w:ascii="Arial" w:hAnsi="Arial" w:hint="default"/>
        <w:b w:val="0"/>
        <w:i w:val="0"/>
        <w:sz w:val="22"/>
        <w:szCs w:val="22"/>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15" w15:restartNumberingAfterBreak="0">
    <w:nsid w:val="1D3652E7"/>
    <w:multiLevelType w:val="hybridMultilevel"/>
    <w:tmpl w:val="E53A66C2"/>
    <w:lvl w:ilvl="0" w:tplc="0F50BF2E">
      <w:start w:val="1"/>
      <w:numFmt w:val="decimal"/>
      <w:lvlText w:val="%1."/>
      <w:lvlJc w:val="left"/>
      <w:pPr>
        <w:ind w:left="360" w:hanging="360"/>
      </w:pPr>
      <w:rPr>
        <w:rFonts w:ascii="Arial" w:hAnsi="Arial" w:hint="default"/>
        <w:b/>
        <w:i w:val="0"/>
        <w:color w:val="auto"/>
        <w:sz w:val="20"/>
        <w:u w:val="none"/>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16" w15:restartNumberingAfterBreak="0">
    <w:nsid w:val="1E170572"/>
    <w:multiLevelType w:val="hybridMultilevel"/>
    <w:tmpl w:val="DC509EF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3A5173DB"/>
    <w:multiLevelType w:val="hybridMultilevel"/>
    <w:tmpl w:val="43D6D626"/>
    <w:lvl w:ilvl="0" w:tplc="D1C04116">
      <w:start w:val="1"/>
      <w:numFmt w:val="bullet"/>
      <w:pStyle w:val="Aufzhlung2CDB"/>
      <w:lvlText w:val=""/>
      <w:lvlJc w:val="left"/>
      <w:pPr>
        <w:tabs>
          <w:tab w:val="num" w:pos="567"/>
        </w:tabs>
        <w:ind w:left="567" w:hanging="283"/>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B44EE0"/>
    <w:multiLevelType w:val="hybridMultilevel"/>
    <w:tmpl w:val="E03C104E"/>
    <w:lvl w:ilvl="0" w:tplc="0AB89602">
      <w:start w:val="1"/>
      <w:numFmt w:val="bullet"/>
      <w:pStyle w:val="Aufzhlung3CDB"/>
      <w:lvlText w:val=""/>
      <w:lvlJc w:val="left"/>
      <w:pPr>
        <w:tabs>
          <w:tab w:val="num" w:pos="851"/>
        </w:tabs>
        <w:ind w:left="851" w:hanging="284"/>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B32C57"/>
    <w:multiLevelType w:val="hybridMultilevel"/>
    <w:tmpl w:val="D7381862"/>
    <w:lvl w:ilvl="0" w:tplc="E1AC271A">
      <w:start w:val="1"/>
      <w:numFmt w:val="lowerLetter"/>
      <w:pStyle w:val="Aufzhlunga2CDB"/>
      <w:lvlText w:val="%1."/>
      <w:lvlJc w:val="left"/>
      <w:pPr>
        <w:tabs>
          <w:tab w:val="num" w:pos="567"/>
        </w:tabs>
        <w:ind w:left="567" w:hanging="283"/>
      </w:pPr>
      <w:rPr>
        <w:rFonts w:ascii="Arial" w:hAnsi="Arial" w:hint="default"/>
        <w:b w:val="0"/>
        <w:i w:val="0"/>
        <w:sz w:val="22"/>
        <w:szCs w:val="22"/>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20" w15:restartNumberingAfterBreak="0">
    <w:nsid w:val="47C819AA"/>
    <w:multiLevelType w:val="hybridMultilevel"/>
    <w:tmpl w:val="4B90400C"/>
    <w:lvl w:ilvl="0" w:tplc="AFB64408">
      <w:start w:val="1"/>
      <w:numFmt w:val="decimal"/>
      <w:lvlText w:val="%1."/>
      <w:lvlJc w:val="left"/>
      <w:pPr>
        <w:ind w:left="360" w:hanging="360"/>
      </w:pPr>
      <w:rPr>
        <w:rFonts w:ascii="Arial" w:hAnsi="Arial" w:hint="default"/>
        <w:b/>
        <w:i w:val="0"/>
        <w:color w:val="auto"/>
        <w:sz w:val="20"/>
        <w:u w:val="none"/>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21" w15:restartNumberingAfterBreak="0">
    <w:nsid w:val="4F193D7E"/>
    <w:multiLevelType w:val="hybridMultilevel"/>
    <w:tmpl w:val="4CD4D49E"/>
    <w:lvl w:ilvl="0" w:tplc="585E6E50">
      <w:start w:val="1"/>
      <w:numFmt w:val="lowerLetter"/>
      <w:lvlText w:val="%1."/>
      <w:lvlJc w:val="left"/>
      <w:pPr>
        <w:ind w:left="1144" w:hanging="435"/>
      </w:pPr>
    </w:lvl>
    <w:lvl w:ilvl="1" w:tplc="08070019">
      <w:start w:val="1"/>
      <w:numFmt w:val="lowerLetter"/>
      <w:lvlText w:val="%2."/>
      <w:lvlJc w:val="left"/>
      <w:pPr>
        <w:ind w:left="1789" w:hanging="360"/>
      </w:pPr>
    </w:lvl>
    <w:lvl w:ilvl="2" w:tplc="0807001B">
      <w:start w:val="1"/>
      <w:numFmt w:val="lowerRoman"/>
      <w:lvlText w:val="%3."/>
      <w:lvlJc w:val="right"/>
      <w:pPr>
        <w:ind w:left="2509" w:hanging="180"/>
      </w:pPr>
    </w:lvl>
    <w:lvl w:ilvl="3" w:tplc="0807000F">
      <w:start w:val="1"/>
      <w:numFmt w:val="decimal"/>
      <w:lvlText w:val="%4."/>
      <w:lvlJc w:val="left"/>
      <w:pPr>
        <w:ind w:left="3229" w:hanging="360"/>
      </w:pPr>
    </w:lvl>
    <w:lvl w:ilvl="4" w:tplc="08070019">
      <w:start w:val="1"/>
      <w:numFmt w:val="lowerLetter"/>
      <w:lvlText w:val="%5."/>
      <w:lvlJc w:val="left"/>
      <w:pPr>
        <w:ind w:left="3949" w:hanging="360"/>
      </w:pPr>
    </w:lvl>
    <w:lvl w:ilvl="5" w:tplc="0807001B">
      <w:start w:val="1"/>
      <w:numFmt w:val="lowerRoman"/>
      <w:lvlText w:val="%6."/>
      <w:lvlJc w:val="right"/>
      <w:pPr>
        <w:ind w:left="4669" w:hanging="180"/>
      </w:pPr>
    </w:lvl>
    <w:lvl w:ilvl="6" w:tplc="0807000F">
      <w:start w:val="1"/>
      <w:numFmt w:val="decimal"/>
      <w:lvlText w:val="%7."/>
      <w:lvlJc w:val="left"/>
      <w:pPr>
        <w:ind w:left="5389" w:hanging="360"/>
      </w:pPr>
    </w:lvl>
    <w:lvl w:ilvl="7" w:tplc="08070019">
      <w:start w:val="1"/>
      <w:numFmt w:val="lowerLetter"/>
      <w:lvlText w:val="%8."/>
      <w:lvlJc w:val="left"/>
      <w:pPr>
        <w:ind w:left="6109" w:hanging="360"/>
      </w:pPr>
    </w:lvl>
    <w:lvl w:ilvl="8" w:tplc="0807001B">
      <w:start w:val="1"/>
      <w:numFmt w:val="lowerRoman"/>
      <w:lvlText w:val="%9."/>
      <w:lvlJc w:val="right"/>
      <w:pPr>
        <w:ind w:left="6829" w:hanging="180"/>
      </w:pPr>
    </w:lvl>
  </w:abstractNum>
  <w:abstractNum w:abstractNumId="22" w15:restartNumberingAfterBreak="0">
    <w:nsid w:val="4F6F0C3A"/>
    <w:multiLevelType w:val="hybridMultilevel"/>
    <w:tmpl w:val="65444168"/>
    <w:lvl w:ilvl="0" w:tplc="3F4EE9A2">
      <w:start w:val="1"/>
      <w:numFmt w:val="decimal"/>
      <w:pStyle w:val="AufzhlungNumm1CDB"/>
      <w:lvlText w:val="%1."/>
      <w:lvlJc w:val="left"/>
      <w:pPr>
        <w:tabs>
          <w:tab w:val="num" w:pos="284"/>
        </w:tabs>
        <w:ind w:left="284" w:hanging="284"/>
      </w:pPr>
      <w:rPr>
        <w:rFonts w:ascii="Arial" w:hAnsi="Arial" w:hint="default"/>
        <w:b w:val="0"/>
        <w:i w:val="0"/>
        <w:sz w:val="22"/>
        <w:szCs w:val="22"/>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23" w15:restartNumberingAfterBreak="0">
    <w:nsid w:val="52636920"/>
    <w:multiLevelType w:val="hybridMultilevel"/>
    <w:tmpl w:val="1708DA78"/>
    <w:lvl w:ilvl="0" w:tplc="391EA950">
      <w:numFmt w:val="bullet"/>
      <w:lvlText w:val="-"/>
      <w:lvlJc w:val="left"/>
      <w:pPr>
        <w:ind w:left="1069" w:hanging="360"/>
      </w:pPr>
      <w:rPr>
        <w:rFonts w:ascii="Arial" w:eastAsiaTheme="minorHAnsi" w:hAnsi="Arial" w:cs="Arial" w:hint="default"/>
      </w:rPr>
    </w:lvl>
    <w:lvl w:ilvl="1" w:tplc="08070003" w:tentative="1">
      <w:start w:val="1"/>
      <w:numFmt w:val="bullet"/>
      <w:lvlText w:val="o"/>
      <w:lvlJc w:val="left"/>
      <w:pPr>
        <w:ind w:left="1789" w:hanging="360"/>
      </w:pPr>
      <w:rPr>
        <w:rFonts w:ascii="Courier New" w:hAnsi="Courier New" w:cs="Courier New" w:hint="default"/>
      </w:rPr>
    </w:lvl>
    <w:lvl w:ilvl="2" w:tplc="08070005" w:tentative="1">
      <w:start w:val="1"/>
      <w:numFmt w:val="bullet"/>
      <w:lvlText w:val=""/>
      <w:lvlJc w:val="left"/>
      <w:pPr>
        <w:ind w:left="2509" w:hanging="360"/>
      </w:pPr>
      <w:rPr>
        <w:rFonts w:ascii="Wingdings" w:hAnsi="Wingdings" w:hint="default"/>
      </w:rPr>
    </w:lvl>
    <w:lvl w:ilvl="3" w:tplc="08070001" w:tentative="1">
      <w:start w:val="1"/>
      <w:numFmt w:val="bullet"/>
      <w:lvlText w:val=""/>
      <w:lvlJc w:val="left"/>
      <w:pPr>
        <w:ind w:left="3229" w:hanging="360"/>
      </w:pPr>
      <w:rPr>
        <w:rFonts w:ascii="Symbol" w:hAnsi="Symbol" w:hint="default"/>
      </w:rPr>
    </w:lvl>
    <w:lvl w:ilvl="4" w:tplc="08070003" w:tentative="1">
      <w:start w:val="1"/>
      <w:numFmt w:val="bullet"/>
      <w:lvlText w:val="o"/>
      <w:lvlJc w:val="left"/>
      <w:pPr>
        <w:ind w:left="3949" w:hanging="360"/>
      </w:pPr>
      <w:rPr>
        <w:rFonts w:ascii="Courier New" w:hAnsi="Courier New" w:cs="Courier New" w:hint="default"/>
      </w:rPr>
    </w:lvl>
    <w:lvl w:ilvl="5" w:tplc="08070005" w:tentative="1">
      <w:start w:val="1"/>
      <w:numFmt w:val="bullet"/>
      <w:lvlText w:val=""/>
      <w:lvlJc w:val="left"/>
      <w:pPr>
        <w:ind w:left="4669" w:hanging="360"/>
      </w:pPr>
      <w:rPr>
        <w:rFonts w:ascii="Wingdings" w:hAnsi="Wingdings" w:hint="default"/>
      </w:rPr>
    </w:lvl>
    <w:lvl w:ilvl="6" w:tplc="08070001" w:tentative="1">
      <w:start w:val="1"/>
      <w:numFmt w:val="bullet"/>
      <w:lvlText w:val=""/>
      <w:lvlJc w:val="left"/>
      <w:pPr>
        <w:ind w:left="5389" w:hanging="360"/>
      </w:pPr>
      <w:rPr>
        <w:rFonts w:ascii="Symbol" w:hAnsi="Symbol" w:hint="default"/>
      </w:rPr>
    </w:lvl>
    <w:lvl w:ilvl="7" w:tplc="08070003" w:tentative="1">
      <w:start w:val="1"/>
      <w:numFmt w:val="bullet"/>
      <w:lvlText w:val="o"/>
      <w:lvlJc w:val="left"/>
      <w:pPr>
        <w:ind w:left="6109" w:hanging="360"/>
      </w:pPr>
      <w:rPr>
        <w:rFonts w:ascii="Courier New" w:hAnsi="Courier New" w:cs="Courier New" w:hint="default"/>
      </w:rPr>
    </w:lvl>
    <w:lvl w:ilvl="8" w:tplc="08070005" w:tentative="1">
      <w:start w:val="1"/>
      <w:numFmt w:val="bullet"/>
      <w:lvlText w:val=""/>
      <w:lvlJc w:val="left"/>
      <w:pPr>
        <w:ind w:left="6829" w:hanging="360"/>
      </w:pPr>
      <w:rPr>
        <w:rFonts w:ascii="Wingdings" w:hAnsi="Wingdings" w:hint="default"/>
      </w:rPr>
    </w:lvl>
  </w:abstractNum>
  <w:abstractNum w:abstractNumId="24" w15:restartNumberingAfterBreak="0">
    <w:nsid w:val="59637DC6"/>
    <w:multiLevelType w:val="hybridMultilevel"/>
    <w:tmpl w:val="3D566272"/>
    <w:lvl w:ilvl="0" w:tplc="7284B854">
      <w:start w:val="1"/>
      <w:numFmt w:val="lowerLetter"/>
      <w:pStyle w:val="Aufzhlunga1CDB"/>
      <w:lvlText w:val="%1."/>
      <w:lvlJc w:val="left"/>
      <w:pPr>
        <w:tabs>
          <w:tab w:val="num" w:pos="284"/>
        </w:tabs>
        <w:ind w:left="284" w:hanging="284"/>
      </w:pPr>
      <w:rPr>
        <w:rFonts w:ascii="Arial" w:hAnsi="Arial" w:hint="default"/>
        <w:b w:val="0"/>
        <w:i w:val="0"/>
        <w:sz w:val="22"/>
        <w:szCs w:val="22"/>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25" w15:restartNumberingAfterBreak="0">
    <w:nsid w:val="5A7929B4"/>
    <w:multiLevelType w:val="hybridMultilevel"/>
    <w:tmpl w:val="186E8034"/>
    <w:lvl w:ilvl="0" w:tplc="42B6D6A2">
      <w:start w:val="1"/>
      <w:numFmt w:val="decimal"/>
      <w:pStyle w:val="AufzhlungNumm2CDB"/>
      <w:lvlText w:val="%1."/>
      <w:lvlJc w:val="left"/>
      <w:pPr>
        <w:tabs>
          <w:tab w:val="num" w:pos="567"/>
        </w:tabs>
        <w:ind w:left="567" w:hanging="283"/>
      </w:pPr>
      <w:rPr>
        <w:rFonts w:ascii="Arial" w:hAnsi="Arial" w:hint="default"/>
        <w:b w:val="0"/>
        <w:i w:val="0"/>
        <w:sz w:val="22"/>
        <w:szCs w:val="22"/>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26" w15:restartNumberingAfterBreak="0">
    <w:nsid w:val="5CD655F4"/>
    <w:multiLevelType w:val="hybridMultilevel"/>
    <w:tmpl w:val="08CA6B64"/>
    <w:lvl w:ilvl="0" w:tplc="F5C4167A">
      <w:start w:val="1"/>
      <w:numFmt w:val="lowerLetter"/>
      <w:pStyle w:val="Aufzhlunga3CDB"/>
      <w:lvlText w:val="%1."/>
      <w:lvlJc w:val="left"/>
      <w:pPr>
        <w:tabs>
          <w:tab w:val="num" w:pos="851"/>
        </w:tabs>
        <w:ind w:left="851" w:hanging="284"/>
      </w:pPr>
      <w:rPr>
        <w:rFonts w:ascii="Arial" w:hAnsi="Arial" w:hint="default"/>
        <w:b w:val="0"/>
        <w:i w:val="0"/>
        <w:sz w:val="22"/>
        <w:szCs w:val="22"/>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27" w15:restartNumberingAfterBreak="0">
    <w:nsid w:val="68C92A2A"/>
    <w:multiLevelType w:val="hybridMultilevel"/>
    <w:tmpl w:val="0B7E5290"/>
    <w:lvl w:ilvl="0" w:tplc="E4763266">
      <w:start w:val="1"/>
      <w:numFmt w:val="decimal"/>
      <w:lvlText w:val="%1."/>
      <w:lvlJc w:val="left"/>
      <w:pPr>
        <w:ind w:left="720" w:hanging="360"/>
      </w:pPr>
      <w:rPr>
        <w:rFonts w:ascii="Arial" w:hAnsi="Arial" w:hint="default"/>
        <w:b/>
        <w:i w:val="0"/>
        <w:color w:val="auto"/>
        <w:sz w:val="20"/>
        <w:u w:val="none"/>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8" w15:restartNumberingAfterBreak="0">
    <w:nsid w:val="6C9E3D6A"/>
    <w:multiLevelType w:val="hybridMultilevel"/>
    <w:tmpl w:val="A6E8BDAA"/>
    <w:lvl w:ilvl="0" w:tplc="585E6E50">
      <w:start w:val="1"/>
      <w:numFmt w:val="lowerLetter"/>
      <w:lvlText w:val="%1."/>
      <w:lvlJc w:val="left"/>
      <w:pPr>
        <w:ind w:left="1144" w:hanging="435"/>
      </w:pPr>
    </w:lvl>
    <w:lvl w:ilvl="1" w:tplc="08070005">
      <w:start w:val="1"/>
      <w:numFmt w:val="bullet"/>
      <w:lvlText w:val=""/>
      <w:lvlJc w:val="left"/>
      <w:pPr>
        <w:ind w:left="1789" w:hanging="360"/>
      </w:pPr>
      <w:rPr>
        <w:rFonts w:ascii="Wingdings" w:hAnsi="Wingdings" w:hint="default"/>
      </w:rPr>
    </w:lvl>
    <w:lvl w:ilvl="2" w:tplc="0807001B">
      <w:start w:val="1"/>
      <w:numFmt w:val="lowerRoman"/>
      <w:lvlText w:val="%3."/>
      <w:lvlJc w:val="right"/>
      <w:pPr>
        <w:ind w:left="2509" w:hanging="180"/>
      </w:pPr>
    </w:lvl>
    <w:lvl w:ilvl="3" w:tplc="0807000F">
      <w:start w:val="1"/>
      <w:numFmt w:val="decimal"/>
      <w:lvlText w:val="%4."/>
      <w:lvlJc w:val="left"/>
      <w:pPr>
        <w:ind w:left="3229" w:hanging="360"/>
      </w:pPr>
    </w:lvl>
    <w:lvl w:ilvl="4" w:tplc="08070019">
      <w:start w:val="1"/>
      <w:numFmt w:val="lowerLetter"/>
      <w:lvlText w:val="%5."/>
      <w:lvlJc w:val="left"/>
      <w:pPr>
        <w:ind w:left="3949" w:hanging="360"/>
      </w:pPr>
    </w:lvl>
    <w:lvl w:ilvl="5" w:tplc="0807001B">
      <w:start w:val="1"/>
      <w:numFmt w:val="lowerRoman"/>
      <w:lvlText w:val="%6."/>
      <w:lvlJc w:val="right"/>
      <w:pPr>
        <w:ind w:left="4669" w:hanging="180"/>
      </w:pPr>
    </w:lvl>
    <w:lvl w:ilvl="6" w:tplc="0807000F">
      <w:start w:val="1"/>
      <w:numFmt w:val="decimal"/>
      <w:lvlText w:val="%7."/>
      <w:lvlJc w:val="left"/>
      <w:pPr>
        <w:ind w:left="5389" w:hanging="360"/>
      </w:pPr>
    </w:lvl>
    <w:lvl w:ilvl="7" w:tplc="08070019">
      <w:start w:val="1"/>
      <w:numFmt w:val="lowerLetter"/>
      <w:lvlText w:val="%8."/>
      <w:lvlJc w:val="left"/>
      <w:pPr>
        <w:ind w:left="6109" w:hanging="360"/>
      </w:pPr>
    </w:lvl>
    <w:lvl w:ilvl="8" w:tplc="0807001B">
      <w:start w:val="1"/>
      <w:numFmt w:val="lowerRoman"/>
      <w:lvlText w:val="%9."/>
      <w:lvlJc w:val="right"/>
      <w:pPr>
        <w:ind w:left="6829" w:hanging="180"/>
      </w:pPr>
    </w:lvl>
  </w:abstractNum>
  <w:abstractNum w:abstractNumId="29" w15:restartNumberingAfterBreak="0">
    <w:nsid w:val="74897323"/>
    <w:multiLevelType w:val="multilevel"/>
    <w:tmpl w:val="C8DC20DE"/>
    <w:lvl w:ilvl="0">
      <w:start w:val="1"/>
      <w:numFmt w:val="decimal"/>
      <w:pStyle w:val="berschrift1"/>
      <w:lvlText w:val="%1."/>
      <w:lvlJc w:val="left"/>
      <w:pPr>
        <w:ind w:left="567" w:hanging="567"/>
      </w:pPr>
      <w:rPr>
        <w:rFonts w:ascii="Arial" w:hAnsi="Arial" w:hint="default"/>
        <w:b/>
        <w:i w:val="0"/>
        <w:color w:val="auto"/>
        <w:sz w:val="20"/>
        <w:u w:val="none"/>
      </w:rPr>
    </w:lvl>
    <w:lvl w:ilvl="1">
      <w:start w:val="1"/>
      <w:numFmt w:val="decimal"/>
      <w:pStyle w:val="berschrift2"/>
      <w:lvlText w:val="%1.%2"/>
      <w:lvlJc w:val="left"/>
      <w:pPr>
        <w:ind w:left="567" w:hanging="567"/>
      </w:pPr>
      <w:rPr>
        <w:rFonts w:ascii="Arial" w:hAnsi="Arial" w:hint="default"/>
        <w:b/>
        <w:i w:val="0"/>
        <w:color w:val="auto"/>
        <w:sz w:val="20"/>
      </w:rPr>
    </w:lvl>
    <w:lvl w:ilvl="2">
      <w:start w:val="1"/>
      <w:numFmt w:val="decimal"/>
      <w:pStyle w:val="berschrift3"/>
      <w:lvlText w:val="%1.%2.%3"/>
      <w:lvlJc w:val="left"/>
      <w:pPr>
        <w:ind w:left="567" w:hanging="567"/>
      </w:pPr>
      <w:rPr>
        <w:rFonts w:ascii="Arial" w:hAnsi="Arial" w:hint="default"/>
        <w:b/>
        <w:i w:val="0"/>
        <w:sz w:val="20"/>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20"/>
  </w:num>
  <w:num w:numId="21">
    <w:abstractNumId w:val="12"/>
  </w:num>
  <w:num w:numId="22">
    <w:abstractNumId w:val="15"/>
  </w:num>
  <w:num w:numId="23">
    <w:abstractNumId w:val="13"/>
  </w:num>
  <w:num w:numId="24">
    <w:abstractNumId w:val="27"/>
  </w:num>
  <w:num w:numId="25">
    <w:abstractNumId w:val="29"/>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7"/>
  </w:num>
  <w:num w:numId="29">
    <w:abstractNumId w:val="18"/>
  </w:num>
  <w:num w:numId="30">
    <w:abstractNumId w:val="24"/>
  </w:num>
  <w:num w:numId="31">
    <w:abstractNumId w:val="19"/>
  </w:num>
  <w:num w:numId="32">
    <w:abstractNumId w:val="26"/>
  </w:num>
  <w:num w:numId="33">
    <w:abstractNumId w:val="22"/>
  </w:num>
  <w:num w:numId="34">
    <w:abstractNumId w:val="25"/>
  </w:num>
  <w:num w:numId="35">
    <w:abstractNumId w:val="14"/>
  </w:num>
  <w:num w:numId="36">
    <w:abstractNumId w:val="11"/>
  </w:num>
  <w:num w:numId="37">
    <w:abstractNumId w:val="17"/>
  </w:num>
  <w:num w:numId="38">
    <w:abstractNumId w:val="18"/>
  </w:num>
  <w:num w:numId="39">
    <w:abstractNumId w:val="24"/>
  </w:num>
  <w:num w:numId="40">
    <w:abstractNumId w:val="19"/>
  </w:num>
  <w:num w:numId="41">
    <w:abstractNumId w:val="26"/>
  </w:num>
  <w:num w:numId="42">
    <w:abstractNumId w:val="22"/>
  </w:num>
  <w:num w:numId="43">
    <w:abstractNumId w:val="25"/>
  </w:num>
  <w:num w:numId="44">
    <w:abstractNumId w:val="14"/>
  </w:num>
  <w:num w:numId="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23"/>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08"/>
  <w:autoHyphenation/>
  <w:hyphenationZone w:val="142"/>
  <w:doNotShadeFormData/>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ITVM_AbsZeileOrt" w:val="CH-3003 Bern"/>
    <w:docVar w:name="BITVM_AbsZeileRef" w:val="EFV"/>
    <w:docVar w:name="BITVM_Amt" w:val="Eidgenössische Finanzverwaltung EFV"/>
    <w:docVar w:name="BITVM_Amt2" w:val="none"/>
    <w:docVar w:name="BITVM_Departement" w:val="Eidgenössisches Finanzdepartement EFD"/>
    <w:docVar w:name="BITVM_Departement2" w:val="none"/>
    <w:docVar w:name="BITVM_EmpfAdr" w:val="none"/>
    <w:docVar w:name="BITVM_EmpfAdrZeile" w:val="none"/>
    <w:docVar w:name="BITVM_FooterAbsender" w:val="Eidgenössische Finanzverwaltung EFV_x000d_Serge Gaillard_x000d_Bundesgasse 3, 3003 Bern_x000d_Tel. +41 58 46 26005, Fax +41 58 46 27549_x000d_Serge.Gaillard@efv.admin.ch_x000d_www.efv.admin.ch"/>
    <w:docVar w:name="BITVM_FooterSekretariat" w:val="Eidgenössische Finanzverwaltung EFV_x000d_Bundesgasse 3, 3003 Bern_x000d_Tel. +41 31 32 26005, Fax +41 31 32 27549_x000d_serge.gaillard@efv.admin.ch_x000d_www.efv.admin.ch"/>
    <w:docVar w:name="BITVM_OrgUnit" w:val="Direktion"/>
    <w:docVar w:name="BITVM_Sig1" w:val="none"/>
    <w:docVar w:name="BITVM_Sig2" w:val="none"/>
  </w:docVars>
  <w:rsids>
    <w:rsidRoot w:val="007C2F91"/>
    <w:rsid w:val="00016A95"/>
    <w:rsid w:val="00184D35"/>
    <w:rsid w:val="003737B2"/>
    <w:rsid w:val="003B13E9"/>
    <w:rsid w:val="003F38D3"/>
    <w:rsid w:val="003F5605"/>
    <w:rsid w:val="00406668"/>
    <w:rsid w:val="00644549"/>
    <w:rsid w:val="006D7870"/>
    <w:rsid w:val="007639FD"/>
    <w:rsid w:val="007C2F91"/>
    <w:rsid w:val="008579EB"/>
    <w:rsid w:val="00B01A03"/>
    <w:rsid w:val="00C11292"/>
    <w:rsid w:val="00CD022C"/>
    <w:rsid w:val="00F9580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oNotEmbedSmartTags/>
  <w:decimalSymbol w:val="."/>
  <w:listSeparator w:val=";"/>
  <w14:docId w14:val="4F5AB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 w:val="22"/>
        <w:szCs w:val="22"/>
        <w:lang w:val="de-CH" w:eastAsia="en-US" w:bidi="ar-SA"/>
      </w:rPr>
    </w:rPrDefault>
    <w:pPrDefault>
      <w:pPr>
        <w:spacing w:line="260" w:lineRule="atLeast"/>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widowControl w:val="0"/>
    </w:pPr>
  </w:style>
  <w:style w:type="paragraph" w:styleId="berschrift1">
    <w:name w:val="heading 1"/>
    <w:basedOn w:val="Standard"/>
    <w:next w:val="Standard"/>
    <w:link w:val="berschrift1Zchn"/>
    <w:qFormat/>
    <w:pPr>
      <w:keepNext/>
      <w:keepLines/>
      <w:numPr>
        <w:numId w:val="25"/>
      </w:numPr>
      <w:spacing w:after="130"/>
      <w:contextualSpacing/>
      <w:outlineLvl w:val="0"/>
    </w:pPr>
    <w:rPr>
      <w:rFonts w:eastAsiaTheme="majorEastAsia" w:cstheme="majorBidi"/>
      <w:b/>
      <w:bCs/>
      <w:szCs w:val="28"/>
    </w:rPr>
  </w:style>
  <w:style w:type="paragraph" w:styleId="berschrift2">
    <w:name w:val="heading 2"/>
    <w:basedOn w:val="Standard"/>
    <w:next w:val="Standard"/>
    <w:link w:val="berschrift2Zchn"/>
    <w:unhideWhenUsed/>
    <w:qFormat/>
    <w:pPr>
      <w:keepNext/>
      <w:keepLines/>
      <w:numPr>
        <w:ilvl w:val="1"/>
        <w:numId w:val="25"/>
      </w:numPr>
      <w:spacing w:after="130"/>
      <w:contextualSpacing/>
      <w:outlineLvl w:val="1"/>
    </w:pPr>
    <w:rPr>
      <w:rFonts w:eastAsiaTheme="majorEastAsia" w:cstheme="majorBidi"/>
      <w:b/>
      <w:bCs/>
      <w:noProof/>
      <w:szCs w:val="26"/>
    </w:rPr>
  </w:style>
  <w:style w:type="paragraph" w:styleId="berschrift3">
    <w:name w:val="heading 3"/>
    <w:basedOn w:val="Standard"/>
    <w:next w:val="Standard"/>
    <w:link w:val="berschrift3Zchn"/>
    <w:unhideWhenUsed/>
    <w:qFormat/>
    <w:pPr>
      <w:keepNext/>
      <w:keepLines/>
      <w:numPr>
        <w:ilvl w:val="2"/>
        <w:numId w:val="25"/>
      </w:numPr>
      <w:spacing w:after="130"/>
      <w:contextualSpacing/>
      <w:outlineLvl w:val="2"/>
    </w:pPr>
    <w:rPr>
      <w:rFonts w:eastAsiaTheme="majorEastAsia" w:cstheme="majorBidi"/>
      <w:b/>
      <w:bCs/>
      <w:szCs w:val="20"/>
    </w:rPr>
  </w:style>
  <w:style w:type="paragraph" w:styleId="berschrift4">
    <w:name w:val="heading 4"/>
    <w:basedOn w:val="Standard"/>
    <w:next w:val="Standard"/>
    <w:link w:val="berschrift4Zchn"/>
    <w:semiHidden/>
    <w:unhideWhenUsed/>
    <w:qFormat/>
    <w:pPr>
      <w:keepNext/>
      <w:keepLines/>
      <w:numPr>
        <w:ilvl w:val="3"/>
        <w:numId w:val="25"/>
      </w:numPr>
      <w:tabs>
        <w:tab w:val="left" w:pos="1276"/>
      </w:tabs>
      <w:spacing w:after="130"/>
      <w:ind w:left="862" w:hanging="862"/>
      <w:contextualSpacing/>
      <w:outlineLvl w:val="3"/>
    </w:pPr>
    <w:rPr>
      <w:rFonts w:eastAsia="Times New Roman" w:cs="Times New Roman"/>
      <w:b/>
      <w:bCs/>
      <w:szCs w:val="28"/>
      <w:lang w:eastAsia="de-DE"/>
    </w:rPr>
  </w:style>
  <w:style w:type="paragraph" w:styleId="berschrift5">
    <w:name w:val="heading 5"/>
    <w:basedOn w:val="Standard"/>
    <w:next w:val="Standard"/>
    <w:link w:val="berschrift5Zchn"/>
    <w:semiHidden/>
    <w:unhideWhenUsed/>
    <w:qFormat/>
    <w:pPr>
      <w:keepNext/>
      <w:keepLines/>
      <w:numPr>
        <w:ilvl w:val="4"/>
        <w:numId w:val="25"/>
      </w:numPr>
      <w:tabs>
        <w:tab w:val="left" w:pos="1418"/>
        <w:tab w:val="left" w:pos="1559"/>
      </w:tabs>
      <w:spacing w:after="130"/>
      <w:ind w:left="1009" w:hanging="1009"/>
      <w:contextualSpacing/>
      <w:outlineLvl w:val="4"/>
    </w:pPr>
    <w:rPr>
      <w:rFonts w:eastAsia="Times New Roman" w:cs="Times New Roman"/>
      <w:b/>
      <w:bCs/>
      <w:iCs/>
      <w:szCs w:val="26"/>
      <w:lang w:eastAsia="de-DE"/>
    </w:rPr>
  </w:style>
  <w:style w:type="paragraph" w:styleId="berschrift6">
    <w:name w:val="heading 6"/>
    <w:basedOn w:val="Standard"/>
    <w:next w:val="Standard"/>
    <w:link w:val="berschrift6Zchn"/>
    <w:semiHidden/>
    <w:unhideWhenUsed/>
    <w:qFormat/>
    <w:pPr>
      <w:keepNext/>
      <w:keepLines/>
      <w:numPr>
        <w:ilvl w:val="5"/>
        <w:numId w:val="25"/>
      </w:numPr>
      <w:tabs>
        <w:tab w:val="left" w:pos="1559"/>
        <w:tab w:val="left" w:pos="1701"/>
        <w:tab w:val="left" w:pos="1843"/>
      </w:tabs>
      <w:spacing w:after="130"/>
      <w:ind w:left="1151" w:hanging="1151"/>
      <w:contextualSpacing/>
      <w:outlineLvl w:val="5"/>
    </w:pPr>
    <w:rPr>
      <w:rFonts w:eastAsia="Times New Roman" w:cs="Times New Roman"/>
      <w:bCs/>
      <w:szCs w:val="20"/>
      <w:lang w:eastAsia="de-DE"/>
    </w:rPr>
  </w:style>
  <w:style w:type="paragraph" w:styleId="berschrift7">
    <w:name w:val="heading 7"/>
    <w:basedOn w:val="Standard"/>
    <w:next w:val="Standard"/>
    <w:link w:val="berschrift7Zchn"/>
    <w:semiHidden/>
    <w:unhideWhenUsed/>
    <w:qFormat/>
    <w:pPr>
      <w:keepNext/>
      <w:keepLines/>
      <w:numPr>
        <w:ilvl w:val="6"/>
        <w:numId w:val="25"/>
      </w:numPr>
      <w:tabs>
        <w:tab w:val="left" w:pos="1701"/>
        <w:tab w:val="left" w:pos="1843"/>
        <w:tab w:val="left" w:pos="1985"/>
        <w:tab w:val="left" w:pos="2126"/>
      </w:tabs>
      <w:spacing w:after="130"/>
      <w:ind w:left="1298" w:hanging="1298"/>
      <w:contextualSpacing/>
      <w:outlineLvl w:val="6"/>
    </w:pPr>
    <w:rPr>
      <w:rFonts w:eastAsia="Times New Roman" w:cs="Times New Roman"/>
      <w:szCs w:val="24"/>
      <w:lang w:eastAsia="de-DE"/>
    </w:rPr>
  </w:style>
  <w:style w:type="paragraph" w:styleId="berschrift8">
    <w:name w:val="heading 8"/>
    <w:basedOn w:val="Standard"/>
    <w:next w:val="Standard"/>
    <w:link w:val="berschrift8Zchn"/>
    <w:semiHidden/>
    <w:unhideWhenUsed/>
    <w:qFormat/>
    <w:pPr>
      <w:keepNext/>
      <w:keepLines/>
      <w:numPr>
        <w:ilvl w:val="7"/>
        <w:numId w:val="25"/>
      </w:numPr>
      <w:tabs>
        <w:tab w:val="left" w:pos="1843"/>
        <w:tab w:val="left" w:pos="1985"/>
        <w:tab w:val="left" w:pos="2126"/>
        <w:tab w:val="left" w:pos="2268"/>
      </w:tabs>
      <w:spacing w:after="130"/>
      <w:outlineLvl w:val="7"/>
    </w:pPr>
    <w:rPr>
      <w:rFonts w:eastAsia="Times New Roman" w:cs="Times New Roman"/>
      <w:iCs/>
      <w:szCs w:val="24"/>
      <w:lang w:eastAsia="de-DE"/>
    </w:rPr>
  </w:style>
  <w:style w:type="paragraph" w:styleId="berschrift9">
    <w:name w:val="heading 9"/>
    <w:basedOn w:val="Standard"/>
    <w:next w:val="Standard"/>
    <w:link w:val="berschrift9Zchn"/>
    <w:semiHidden/>
    <w:unhideWhenUsed/>
    <w:qFormat/>
    <w:pPr>
      <w:keepNext/>
      <w:keepLines/>
      <w:numPr>
        <w:ilvl w:val="8"/>
        <w:numId w:val="25"/>
      </w:numPr>
      <w:tabs>
        <w:tab w:val="left" w:pos="1985"/>
        <w:tab w:val="left" w:pos="2126"/>
        <w:tab w:val="left" w:pos="2268"/>
        <w:tab w:val="left" w:pos="2410"/>
        <w:tab w:val="left" w:pos="2552"/>
      </w:tabs>
      <w:spacing w:after="130"/>
      <w:ind w:left="1582" w:hanging="1582"/>
      <w:contextualSpacing/>
      <w:outlineLvl w:val="8"/>
    </w:pPr>
    <w:rPr>
      <w:rFonts w:eastAsia="Times New Roman" w:cs="Arial"/>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qFormat/>
    <w:pPr>
      <w:suppressAutoHyphens/>
      <w:spacing w:line="200" w:lineRule="atLeast"/>
    </w:pPr>
    <w:rPr>
      <w:sz w:val="15"/>
    </w:rPr>
  </w:style>
  <w:style w:type="character" w:customStyle="1" w:styleId="KopfzeileZchn">
    <w:name w:val="Kopfzeile Zchn"/>
    <w:basedOn w:val="Absatz-Standardschriftart"/>
    <w:link w:val="Kopfzeile"/>
    <w:uiPriority w:val="99"/>
    <w:rPr>
      <w:sz w:val="15"/>
    </w:rPr>
  </w:style>
  <w:style w:type="paragraph" w:styleId="Fuzeile">
    <w:name w:val="footer"/>
    <w:basedOn w:val="Standard"/>
    <w:link w:val="FuzeileZchn"/>
    <w:pPr>
      <w:spacing w:line="160" w:lineRule="atLeast"/>
    </w:pPr>
    <w:rPr>
      <w:noProof/>
      <w:sz w:val="12"/>
    </w:rPr>
  </w:style>
  <w:style w:type="character" w:customStyle="1" w:styleId="FuzeileZchn">
    <w:name w:val="Fußzeile Zchn"/>
    <w:basedOn w:val="Absatz-Standardschriftart"/>
    <w:link w:val="Fuzeile"/>
    <w:uiPriority w:val="99"/>
    <w:rPr>
      <w:noProof/>
      <w:sz w:val="12"/>
    </w:rPr>
  </w:style>
  <w:style w:type="table" w:styleId="Tabellenraster">
    <w:name w:val="Table Grid"/>
    <w:basedOn w:val="NormaleTabelle"/>
    <w:uiPriority w:val="59"/>
    <w:pPr>
      <w:widowControl w:val="0"/>
    </w:pPr>
    <w:rPr>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prechblasentext">
    <w:name w:val="Balloon Text"/>
    <w:basedOn w:val="Standard"/>
    <w:link w:val="SprechblasentextZchn"/>
    <w:uiPriority w:val="99"/>
    <w:semiHidden/>
    <w:unhideWhenUsed/>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customStyle="1" w:styleId="KopfzeileDepartement">
    <w:name w:val="KopfzeileDepartement"/>
    <w:basedOn w:val="Kopfzeile"/>
    <w:next w:val="KopfzeileFett"/>
    <w:uiPriority w:val="3"/>
    <w:unhideWhenUsed/>
    <w:pPr>
      <w:spacing w:after="100"/>
      <w:contextualSpacing/>
    </w:pPr>
  </w:style>
  <w:style w:type="paragraph" w:customStyle="1" w:styleId="KopfzeileFett">
    <w:name w:val="KopfzeileFett"/>
    <w:basedOn w:val="Kopfzeile"/>
    <w:next w:val="Kopfzeile"/>
    <w:uiPriority w:val="3"/>
    <w:unhideWhenUsed/>
    <w:rPr>
      <w:b/>
    </w:rPr>
  </w:style>
  <w:style w:type="paragraph" w:customStyle="1" w:styleId="Klassifizierung">
    <w:name w:val="Klassifizierung"/>
    <w:basedOn w:val="Standard"/>
    <w:pPr>
      <w:jc w:val="right"/>
    </w:pPr>
    <w:rPr>
      <w:b/>
    </w:rPr>
  </w:style>
  <w:style w:type="paragraph" w:customStyle="1" w:styleId="Referenz">
    <w:name w:val="Referenz"/>
    <w:basedOn w:val="Standard"/>
    <w:uiPriority w:val="1"/>
    <w:pPr>
      <w:suppressAutoHyphens/>
      <w:spacing w:line="200" w:lineRule="atLeast"/>
    </w:pPr>
    <w:rPr>
      <w:sz w:val="15"/>
    </w:rPr>
  </w:style>
  <w:style w:type="paragraph" w:customStyle="1" w:styleId="PostAbs">
    <w:name w:val="PostAbs"/>
    <w:basedOn w:val="Standard"/>
    <w:semiHidden/>
    <w:unhideWhenUsed/>
    <w:pPr>
      <w:spacing w:line="240" w:lineRule="auto"/>
    </w:pPr>
    <w:rPr>
      <w:bCs/>
      <w:sz w:val="16"/>
    </w:rPr>
  </w:style>
  <w:style w:type="character" w:customStyle="1" w:styleId="A">
    <w:name w:val="A"/>
    <w:uiPriority w:val="1"/>
    <w:semiHidden/>
    <w:unhideWhenUsed/>
    <w:rPr>
      <w:rFonts w:ascii="Arial Narrow" w:hAnsi="Arial Narrow"/>
      <w:sz w:val="48"/>
    </w:rPr>
  </w:style>
  <w:style w:type="paragraph" w:customStyle="1" w:styleId="PRIORITY">
    <w:name w:val="PRIORITY"/>
    <w:basedOn w:val="PPA"/>
    <w:next w:val="Standard"/>
    <w:uiPriority w:val="2"/>
    <w:semiHidden/>
    <w:unhideWhenUsed/>
    <w:pPr>
      <w:jc w:val="right"/>
    </w:pPr>
    <w:rPr>
      <w:bCs w:val="0"/>
    </w:rPr>
  </w:style>
  <w:style w:type="paragraph" w:customStyle="1" w:styleId="PP">
    <w:name w:val="PP"/>
    <w:next w:val="Standard"/>
    <w:uiPriority w:val="2"/>
    <w:semiHidden/>
    <w:unhideWhenUsed/>
    <w:pPr>
      <w:spacing w:before="90" w:line="240" w:lineRule="auto"/>
    </w:pPr>
    <w:rPr>
      <w:rFonts w:ascii="Arial Narrow" w:eastAsia="Times New Roman" w:hAnsi="Arial Narrow" w:cs="Times New Roman"/>
      <w:b/>
      <w:bCs/>
      <w:caps/>
      <w:noProof/>
      <w:sz w:val="24"/>
      <w:szCs w:val="20"/>
    </w:rPr>
  </w:style>
  <w:style w:type="paragraph" w:styleId="Titel">
    <w:name w:val="Title"/>
    <w:basedOn w:val="Standard"/>
    <w:next w:val="Standard"/>
    <w:link w:val="TitelZchn"/>
    <w:uiPriority w:val="10"/>
    <w:unhideWhenUsed/>
    <w:qFormat/>
    <w:rPr>
      <w:rFonts w:eastAsiaTheme="majorEastAsia" w:cstheme="majorBidi"/>
      <w:b/>
      <w:sz w:val="42"/>
      <w:szCs w:val="52"/>
    </w:rPr>
  </w:style>
  <w:style w:type="character" w:customStyle="1" w:styleId="TitelZchn">
    <w:name w:val="Titel Zchn"/>
    <w:basedOn w:val="Absatz-Standardschriftart"/>
    <w:link w:val="Titel"/>
    <w:uiPriority w:val="10"/>
    <w:rPr>
      <w:rFonts w:eastAsiaTheme="majorEastAsia" w:cstheme="majorBidi"/>
      <w:b/>
      <w:sz w:val="42"/>
      <w:szCs w:val="52"/>
    </w:rPr>
  </w:style>
  <w:style w:type="paragraph" w:styleId="Untertitel">
    <w:name w:val="Subtitle"/>
    <w:basedOn w:val="Standard"/>
    <w:next w:val="Standard"/>
    <w:link w:val="UntertitelZchn"/>
    <w:uiPriority w:val="11"/>
    <w:semiHidden/>
    <w:unhideWhenUsed/>
    <w:qFormat/>
    <w:pPr>
      <w:numPr>
        <w:ilvl w:val="1"/>
      </w:numPr>
    </w:pPr>
    <w:rPr>
      <w:rFonts w:eastAsiaTheme="majorEastAsia" w:cstheme="majorBidi"/>
      <w:iCs/>
      <w:sz w:val="42"/>
      <w:szCs w:val="24"/>
    </w:rPr>
  </w:style>
  <w:style w:type="character" w:customStyle="1" w:styleId="UntertitelZchn">
    <w:name w:val="Untertitel Zchn"/>
    <w:basedOn w:val="Absatz-Standardschriftart"/>
    <w:link w:val="Untertitel"/>
    <w:uiPriority w:val="11"/>
    <w:semiHidden/>
    <w:rPr>
      <w:rFonts w:eastAsiaTheme="majorEastAsia" w:cstheme="majorBidi"/>
      <w:iCs/>
      <w:sz w:val="42"/>
      <w:szCs w:val="24"/>
    </w:rPr>
  </w:style>
  <w:style w:type="paragraph" w:styleId="Beschriftung">
    <w:name w:val="caption"/>
    <w:basedOn w:val="Standard"/>
    <w:next w:val="Standard"/>
    <w:uiPriority w:val="35"/>
    <w:unhideWhenUsed/>
    <w:qFormat/>
    <w:pPr>
      <w:spacing w:after="260"/>
      <w:ind w:left="28"/>
    </w:pPr>
    <w:rPr>
      <w:bCs/>
      <w:sz w:val="18"/>
      <w:szCs w:val="18"/>
    </w:rPr>
  </w:style>
  <w:style w:type="table" w:customStyle="1" w:styleId="Tabelle">
    <w:name w:val="Tabelle"/>
    <w:basedOn w:val="NormaleTabelle"/>
    <w:uiPriority w:val="99"/>
    <w:pPr>
      <w:widowControl w:val="0"/>
    </w:pPr>
    <w:rPr>
      <w:sz w:val="20"/>
      <w:szCs w:val="20"/>
    </w:rPr>
    <w:tblPr>
      <w:tblStyleRowBandSize w:val="1"/>
      <w:tblStyleColBandSize w:val="1"/>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blStylePr w:type="firstRow">
      <w:pPr>
        <w:wordWrap/>
        <w:spacing w:beforeLines="0" w:beforeAutospacing="0" w:afterLines="0" w:afterAutospacing="0"/>
        <w:contextualSpacing/>
      </w:pPr>
      <w:rPr>
        <w:rFonts w:ascii="Arial" w:hAnsi="Arial"/>
        <w:b/>
        <w:color w:val="FFFFFF" w:themeColor="background1"/>
        <w:sz w:val="20"/>
      </w:rPr>
      <w:tblPr/>
      <w:trPr>
        <w:cantSplit w:val="0"/>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7F7F7F" w:themeFill="text1" w:themeFillTint="80"/>
      </w:tcPr>
    </w:tblStylePr>
    <w:tblStylePr w:type="lastRow">
      <w:rPr>
        <w:rFonts w:ascii="Arial" w:hAnsi="Arial"/>
        <w:color w:val="auto"/>
        <w:sz w:val="20"/>
      </w:rPr>
    </w:tblStylePr>
    <w:tblStylePr w:type="band1Vert">
      <w:rPr>
        <w:rFonts w:ascii="Arial" w:hAnsi="Arial"/>
        <w:color w:val="auto"/>
        <w:sz w:val="20"/>
      </w:rPr>
    </w:tblStylePr>
    <w:tblStylePr w:type="band1Horz">
      <w:rPr>
        <w:rFonts w:ascii="Arial" w:hAnsi="Arial"/>
        <w:color w:val="auto"/>
        <w:sz w:val="20"/>
      </w:rPr>
    </w:tblStylePr>
    <w:tblStylePr w:type="band2Horz">
      <w:rPr>
        <w:rFonts w:ascii="Arial" w:hAnsi="Arial"/>
        <w:color w:val="auto"/>
        <w:sz w:val="20"/>
      </w:rPr>
    </w:tblStylePr>
  </w:style>
  <w:style w:type="character" w:customStyle="1" w:styleId="berschrift1Zchn">
    <w:name w:val="Überschrift 1 Zchn"/>
    <w:basedOn w:val="Absatz-Standardschriftart"/>
    <w:link w:val="berschrift1"/>
    <w:rPr>
      <w:rFonts w:eastAsiaTheme="majorEastAsia" w:cstheme="majorBidi"/>
      <w:b/>
      <w:bCs/>
      <w:sz w:val="20"/>
      <w:szCs w:val="28"/>
      <w:lang w:val="en-US"/>
    </w:rPr>
  </w:style>
  <w:style w:type="character" w:customStyle="1" w:styleId="berschrift2Zchn">
    <w:name w:val="Überschrift 2 Zchn"/>
    <w:basedOn w:val="Absatz-Standardschriftart"/>
    <w:link w:val="berschrift2"/>
    <w:rPr>
      <w:rFonts w:eastAsiaTheme="majorEastAsia" w:cstheme="majorBidi"/>
      <w:b/>
      <w:bCs/>
      <w:noProof/>
      <w:szCs w:val="26"/>
    </w:rPr>
  </w:style>
  <w:style w:type="character" w:customStyle="1" w:styleId="berschrift3Zchn">
    <w:name w:val="Überschrift 3 Zchn"/>
    <w:basedOn w:val="Absatz-Standardschriftart"/>
    <w:link w:val="berschrift3"/>
    <w:rPr>
      <w:rFonts w:eastAsiaTheme="majorEastAsia" w:cstheme="majorBidi"/>
      <w:b/>
      <w:bCs/>
      <w:szCs w:val="20"/>
    </w:rPr>
  </w:style>
  <w:style w:type="character" w:customStyle="1" w:styleId="berschrift4Zchn">
    <w:name w:val="Überschrift 4 Zchn"/>
    <w:basedOn w:val="Absatz-Standardschriftart"/>
    <w:link w:val="berschrift4"/>
    <w:semiHidden/>
    <w:rPr>
      <w:rFonts w:eastAsia="Times New Roman" w:cs="Times New Roman"/>
      <w:b/>
      <w:bCs/>
      <w:szCs w:val="28"/>
      <w:lang w:eastAsia="de-DE"/>
    </w:rPr>
  </w:style>
  <w:style w:type="character" w:customStyle="1" w:styleId="berschrift5Zchn">
    <w:name w:val="Überschrift 5 Zchn"/>
    <w:basedOn w:val="Absatz-Standardschriftart"/>
    <w:link w:val="berschrift5"/>
    <w:semiHidden/>
    <w:rPr>
      <w:rFonts w:eastAsia="Times New Roman" w:cs="Times New Roman"/>
      <w:b/>
      <w:bCs/>
      <w:iCs/>
      <w:szCs w:val="26"/>
      <w:lang w:eastAsia="de-DE"/>
    </w:rPr>
  </w:style>
  <w:style w:type="character" w:customStyle="1" w:styleId="berschrift6Zchn">
    <w:name w:val="Überschrift 6 Zchn"/>
    <w:basedOn w:val="Absatz-Standardschriftart"/>
    <w:link w:val="berschrift6"/>
    <w:semiHidden/>
    <w:rPr>
      <w:rFonts w:eastAsia="Times New Roman" w:cs="Times New Roman"/>
      <w:bCs/>
      <w:szCs w:val="20"/>
      <w:lang w:eastAsia="de-DE"/>
    </w:rPr>
  </w:style>
  <w:style w:type="character" w:customStyle="1" w:styleId="berschrift7Zchn">
    <w:name w:val="Überschrift 7 Zchn"/>
    <w:basedOn w:val="Absatz-Standardschriftart"/>
    <w:link w:val="berschrift7"/>
    <w:semiHidden/>
    <w:rPr>
      <w:rFonts w:eastAsia="Times New Roman" w:cs="Times New Roman"/>
      <w:szCs w:val="24"/>
      <w:lang w:eastAsia="de-DE"/>
    </w:rPr>
  </w:style>
  <w:style w:type="character" w:customStyle="1" w:styleId="berschrift8Zchn">
    <w:name w:val="Überschrift 8 Zchn"/>
    <w:basedOn w:val="Absatz-Standardschriftart"/>
    <w:link w:val="berschrift8"/>
    <w:semiHidden/>
    <w:rPr>
      <w:rFonts w:eastAsia="Times New Roman" w:cs="Times New Roman"/>
      <w:iCs/>
      <w:szCs w:val="24"/>
      <w:lang w:eastAsia="de-DE"/>
    </w:rPr>
  </w:style>
  <w:style w:type="character" w:customStyle="1" w:styleId="berschrift9Zchn">
    <w:name w:val="Überschrift 9 Zchn"/>
    <w:basedOn w:val="Absatz-Standardschriftart"/>
    <w:link w:val="berschrift9"/>
    <w:semiHidden/>
    <w:rPr>
      <w:rFonts w:eastAsia="Times New Roman" w:cs="Arial"/>
      <w:szCs w:val="20"/>
      <w:lang w:eastAsia="de-DE"/>
    </w:rPr>
  </w:style>
  <w:style w:type="paragraph" w:styleId="Verzeichnis1">
    <w:name w:val="toc 1"/>
    <w:basedOn w:val="Standard"/>
    <w:next w:val="Standard"/>
    <w:uiPriority w:val="39"/>
    <w:unhideWhenUsed/>
    <w:pPr>
      <w:tabs>
        <w:tab w:val="right" w:leader="dot" w:pos="9072"/>
      </w:tabs>
      <w:ind w:left="567" w:hanging="567"/>
    </w:pPr>
    <w:rPr>
      <w:b/>
      <w:szCs w:val="20"/>
    </w:rPr>
  </w:style>
  <w:style w:type="paragraph" w:styleId="Verzeichnis2">
    <w:name w:val="toc 2"/>
    <w:basedOn w:val="Standard"/>
    <w:next w:val="Standard"/>
    <w:uiPriority w:val="39"/>
    <w:unhideWhenUsed/>
    <w:pPr>
      <w:tabs>
        <w:tab w:val="right" w:leader="dot" w:pos="9072"/>
      </w:tabs>
      <w:ind w:left="1134" w:hanging="567"/>
    </w:pPr>
    <w:rPr>
      <w:b/>
      <w:szCs w:val="20"/>
    </w:rPr>
  </w:style>
  <w:style w:type="paragraph" w:styleId="Verzeichnis3">
    <w:name w:val="toc 3"/>
    <w:basedOn w:val="Standard"/>
    <w:next w:val="Standard"/>
    <w:uiPriority w:val="39"/>
    <w:unhideWhenUsed/>
    <w:pPr>
      <w:tabs>
        <w:tab w:val="right" w:leader="dot" w:pos="9072"/>
      </w:tabs>
      <w:ind w:left="1134" w:hanging="567"/>
    </w:pPr>
    <w:rPr>
      <w:b/>
      <w:szCs w:val="20"/>
    </w:rPr>
  </w:style>
  <w:style w:type="paragraph" w:styleId="Verzeichnis4">
    <w:name w:val="toc 4"/>
    <w:basedOn w:val="Standard"/>
    <w:next w:val="Standard"/>
    <w:uiPriority w:val="39"/>
    <w:semiHidden/>
    <w:unhideWhenUsed/>
    <w:pPr>
      <w:tabs>
        <w:tab w:val="right" w:leader="dot" w:pos="9072"/>
      </w:tabs>
      <w:ind w:left="1134" w:hanging="567"/>
    </w:pPr>
    <w:rPr>
      <w:b/>
      <w:szCs w:val="20"/>
    </w:rPr>
  </w:style>
  <w:style w:type="paragraph" w:styleId="Verzeichnis5">
    <w:name w:val="toc 5"/>
    <w:basedOn w:val="Standard"/>
    <w:next w:val="Standard"/>
    <w:uiPriority w:val="39"/>
    <w:semiHidden/>
    <w:unhideWhenUsed/>
    <w:pPr>
      <w:tabs>
        <w:tab w:val="right" w:leader="dot" w:pos="9072"/>
      </w:tabs>
      <w:ind w:left="1134" w:hanging="567"/>
    </w:pPr>
    <w:rPr>
      <w:b/>
      <w:szCs w:val="20"/>
    </w:rPr>
  </w:style>
  <w:style w:type="paragraph" w:styleId="Verzeichnis6">
    <w:name w:val="toc 6"/>
    <w:basedOn w:val="Standard"/>
    <w:next w:val="Standard"/>
    <w:uiPriority w:val="39"/>
    <w:semiHidden/>
    <w:unhideWhenUsed/>
    <w:pPr>
      <w:tabs>
        <w:tab w:val="right" w:leader="dot" w:pos="9072"/>
      </w:tabs>
      <w:ind w:left="1134" w:hanging="567"/>
    </w:pPr>
    <w:rPr>
      <w:szCs w:val="20"/>
    </w:rPr>
  </w:style>
  <w:style w:type="paragraph" w:styleId="Verzeichnis7">
    <w:name w:val="toc 7"/>
    <w:basedOn w:val="Standard"/>
    <w:next w:val="Standard"/>
    <w:uiPriority w:val="39"/>
    <w:semiHidden/>
    <w:unhideWhenUsed/>
    <w:pPr>
      <w:widowControl/>
      <w:tabs>
        <w:tab w:val="right" w:leader="dot" w:pos="9072"/>
      </w:tabs>
      <w:ind w:left="1134" w:hanging="567"/>
    </w:pPr>
    <w:rPr>
      <w:szCs w:val="20"/>
    </w:rPr>
  </w:style>
  <w:style w:type="paragraph" w:styleId="Verzeichnis8">
    <w:name w:val="toc 8"/>
    <w:basedOn w:val="Standard"/>
    <w:next w:val="Standard"/>
    <w:uiPriority w:val="39"/>
    <w:semiHidden/>
    <w:unhideWhenUsed/>
    <w:pPr>
      <w:tabs>
        <w:tab w:val="right" w:leader="dot" w:pos="9072"/>
      </w:tabs>
      <w:ind w:left="1134" w:hanging="567"/>
    </w:pPr>
    <w:rPr>
      <w:rFonts w:eastAsiaTheme="minorEastAsia"/>
      <w:lang w:eastAsia="de-CH"/>
    </w:rPr>
  </w:style>
  <w:style w:type="paragraph" w:styleId="Verzeichnis9">
    <w:name w:val="toc 9"/>
    <w:basedOn w:val="Standard"/>
    <w:next w:val="Standard"/>
    <w:uiPriority w:val="39"/>
    <w:semiHidden/>
    <w:unhideWhenUsed/>
    <w:pPr>
      <w:tabs>
        <w:tab w:val="right" w:leader="dot" w:pos="9072"/>
      </w:tabs>
      <w:ind w:left="1134" w:hanging="567"/>
    </w:pPr>
    <w:rPr>
      <w:rFonts w:eastAsiaTheme="minorEastAsia"/>
      <w:lang w:eastAsia="de-CH"/>
    </w:rPr>
  </w:style>
  <w:style w:type="paragraph" w:customStyle="1" w:styleId="Platzhalter">
    <w:name w:val="Platzhalter"/>
    <w:basedOn w:val="Standard"/>
    <w:next w:val="Standard"/>
    <w:semiHidden/>
    <w:unhideWhenUsed/>
    <w:pPr>
      <w:widowControl/>
      <w:spacing w:line="240" w:lineRule="auto"/>
    </w:pPr>
    <w:rPr>
      <w:sz w:val="2"/>
    </w:rPr>
  </w:style>
  <w:style w:type="paragraph" w:customStyle="1" w:styleId="ReferenzFormular">
    <w:name w:val="ReferenzFormular"/>
    <w:basedOn w:val="Standard"/>
    <w:unhideWhenUsed/>
    <w:pPr>
      <w:suppressAutoHyphens/>
      <w:contextualSpacing/>
    </w:pPr>
    <w:rPr>
      <w:sz w:val="15"/>
    </w:rPr>
  </w:style>
  <w:style w:type="paragraph" w:styleId="Listennummer">
    <w:name w:val="List Number"/>
    <w:basedOn w:val="Standard"/>
    <w:uiPriority w:val="99"/>
    <w:semiHidden/>
    <w:unhideWhenUsed/>
    <w:pPr>
      <w:numPr>
        <w:numId w:val="6"/>
      </w:numPr>
      <w:ind w:left="425" w:hanging="425"/>
      <w:contextualSpacing/>
    </w:pPr>
  </w:style>
  <w:style w:type="paragraph" w:customStyle="1" w:styleId="Aufzhlung1CDB">
    <w:name w:val="Aufzählung 1_CDB"/>
    <w:basedOn w:val="Standard"/>
    <w:uiPriority w:val="1"/>
    <w:pPr>
      <w:widowControl/>
      <w:numPr>
        <w:numId w:val="36"/>
      </w:numPr>
      <w:spacing w:after="120"/>
    </w:pPr>
    <w:rPr>
      <w:rFonts w:eastAsia="Times New Roman" w:cs="Times New Roman"/>
      <w:lang w:eastAsia="de-DE"/>
    </w:rPr>
  </w:style>
  <w:style w:type="paragraph" w:customStyle="1" w:styleId="Aufzhlung2CDB">
    <w:name w:val="Aufzählung 2_CDB"/>
    <w:basedOn w:val="Standard"/>
    <w:uiPriority w:val="1"/>
    <w:pPr>
      <w:widowControl/>
      <w:numPr>
        <w:numId w:val="37"/>
      </w:numPr>
      <w:spacing w:after="120"/>
    </w:pPr>
    <w:rPr>
      <w:rFonts w:eastAsia="Times New Roman" w:cs="Times New Roman"/>
      <w:lang w:eastAsia="de-DE"/>
    </w:rPr>
  </w:style>
  <w:style w:type="paragraph" w:customStyle="1" w:styleId="Aufzhlung3CDB">
    <w:name w:val="Aufzählung 3_CDB"/>
    <w:basedOn w:val="Standard"/>
    <w:uiPriority w:val="1"/>
    <w:pPr>
      <w:widowControl/>
      <w:numPr>
        <w:numId w:val="38"/>
      </w:numPr>
      <w:spacing w:after="120"/>
    </w:pPr>
    <w:rPr>
      <w:rFonts w:eastAsia="Times New Roman" w:cs="Times New Roman"/>
      <w:lang w:eastAsia="de-DE"/>
    </w:rPr>
  </w:style>
  <w:style w:type="paragraph" w:customStyle="1" w:styleId="Aufzhlunga1CDB">
    <w:name w:val="Aufzählung a1_CDB"/>
    <w:basedOn w:val="Standard"/>
    <w:uiPriority w:val="1"/>
    <w:pPr>
      <w:widowControl/>
      <w:numPr>
        <w:numId w:val="39"/>
      </w:numPr>
      <w:spacing w:after="120"/>
    </w:pPr>
    <w:rPr>
      <w:rFonts w:eastAsia="Times New Roman" w:cs="Times New Roman"/>
      <w:lang w:eastAsia="de-DE"/>
    </w:rPr>
  </w:style>
  <w:style w:type="paragraph" w:customStyle="1" w:styleId="Aufzhlunga2CDB">
    <w:name w:val="Aufzählung a2_CDB"/>
    <w:basedOn w:val="Standard"/>
    <w:uiPriority w:val="1"/>
    <w:pPr>
      <w:widowControl/>
      <w:numPr>
        <w:numId w:val="40"/>
      </w:numPr>
      <w:spacing w:after="120"/>
    </w:pPr>
    <w:rPr>
      <w:rFonts w:eastAsia="Times New Roman" w:cs="Times New Roman"/>
      <w:lang w:eastAsia="de-DE"/>
    </w:rPr>
  </w:style>
  <w:style w:type="paragraph" w:customStyle="1" w:styleId="Aufzhlunga3CDB">
    <w:name w:val="Aufzählung a3_CDB"/>
    <w:basedOn w:val="Standard"/>
    <w:uiPriority w:val="1"/>
    <w:pPr>
      <w:widowControl/>
      <w:numPr>
        <w:numId w:val="41"/>
      </w:numPr>
      <w:spacing w:after="120"/>
    </w:pPr>
    <w:rPr>
      <w:rFonts w:eastAsia="Times New Roman" w:cs="Times New Roman"/>
      <w:lang w:eastAsia="de-DE"/>
    </w:rPr>
  </w:style>
  <w:style w:type="paragraph" w:customStyle="1" w:styleId="AufzhlungNumm1CDB">
    <w:name w:val="Aufzählung Numm 1_CDB"/>
    <w:basedOn w:val="Standard"/>
    <w:uiPriority w:val="1"/>
    <w:pPr>
      <w:widowControl/>
      <w:numPr>
        <w:numId w:val="42"/>
      </w:numPr>
      <w:spacing w:after="120"/>
    </w:pPr>
    <w:rPr>
      <w:rFonts w:eastAsia="Times New Roman" w:cs="Times New Roman"/>
      <w:lang w:eastAsia="de-DE"/>
    </w:rPr>
  </w:style>
  <w:style w:type="paragraph" w:customStyle="1" w:styleId="AufzhlungNumm2CDB">
    <w:name w:val="Aufzählung Numm 2_CDB"/>
    <w:basedOn w:val="Standard"/>
    <w:uiPriority w:val="1"/>
    <w:pPr>
      <w:widowControl/>
      <w:numPr>
        <w:numId w:val="43"/>
      </w:numPr>
      <w:spacing w:after="120"/>
    </w:pPr>
    <w:rPr>
      <w:rFonts w:eastAsia="Times New Roman" w:cs="Times New Roman"/>
      <w:lang w:eastAsia="de-DE"/>
    </w:rPr>
  </w:style>
  <w:style w:type="paragraph" w:customStyle="1" w:styleId="AufzhlungNumm3CDB">
    <w:name w:val="Aufzählung Numm 3_CDB"/>
    <w:basedOn w:val="Standard"/>
    <w:uiPriority w:val="1"/>
    <w:pPr>
      <w:widowControl/>
      <w:numPr>
        <w:numId w:val="44"/>
      </w:numPr>
      <w:spacing w:after="120"/>
    </w:pPr>
    <w:rPr>
      <w:rFonts w:eastAsia="Times New Roman" w:cs="Times New Roman"/>
      <w:lang w:eastAsia="de-DE"/>
    </w:rPr>
  </w:style>
  <w:style w:type="paragraph" w:customStyle="1" w:styleId="Kopfzeile2Departement">
    <w:name w:val="Kopfzeile2Departement"/>
    <w:basedOn w:val="KopfzeileDepartement"/>
    <w:next w:val="KopfzeileFett"/>
    <w:uiPriority w:val="3"/>
    <w:semiHidden/>
    <w:unhideWhenUsed/>
    <w:pPr>
      <w:spacing w:after="0"/>
      <w:contextualSpacing w:val="0"/>
    </w:pPr>
  </w:style>
  <w:style w:type="paragraph" w:customStyle="1" w:styleId="PPA">
    <w:name w:val="PPA"/>
    <w:basedOn w:val="PP"/>
    <w:next w:val="Standard"/>
    <w:uiPriority w:val="2"/>
    <w:semiHidden/>
    <w:unhideWhenUsed/>
    <w:pPr>
      <w:spacing w:before="0" w:line="540" w:lineRule="exact"/>
    </w:pPr>
  </w:style>
  <w:style w:type="paragraph" w:styleId="Endnotentext">
    <w:name w:val="endnote text"/>
    <w:basedOn w:val="Standard"/>
    <w:link w:val="EndnotentextZchn"/>
    <w:uiPriority w:val="99"/>
    <w:semiHidden/>
    <w:unhideWhenUsed/>
    <w:pPr>
      <w:spacing w:after="60" w:line="240" w:lineRule="auto"/>
      <w:ind w:left="119" w:hanging="119"/>
    </w:pPr>
    <w:rPr>
      <w:sz w:val="18"/>
      <w:szCs w:val="20"/>
    </w:rPr>
  </w:style>
  <w:style w:type="character" w:customStyle="1" w:styleId="EndnotentextZchn">
    <w:name w:val="Endnotentext Zchn"/>
    <w:basedOn w:val="Absatz-Standardschriftart"/>
    <w:link w:val="Endnotentext"/>
    <w:uiPriority w:val="99"/>
    <w:semiHidden/>
    <w:rPr>
      <w:sz w:val="18"/>
      <w:szCs w:val="20"/>
      <w:lang w:val="en-GB"/>
    </w:rPr>
  </w:style>
  <w:style w:type="paragraph" w:styleId="Funotentext">
    <w:name w:val="footnote text"/>
    <w:basedOn w:val="Standard"/>
    <w:link w:val="FunotentextZchn"/>
    <w:uiPriority w:val="99"/>
    <w:semiHidden/>
    <w:unhideWhenUsed/>
    <w:pPr>
      <w:spacing w:after="60" w:line="240" w:lineRule="auto"/>
      <w:ind w:left="119" w:hanging="119"/>
    </w:pPr>
    <w:rPr>
      <w:sz w:val="18"/>
      <w:szCs w:val="20"/>
    </w:rPr>
  </w:style>
  <w:style w:type="character" w:customStyle="1" w:styleId="FunotentextZchn">
    <w:name w:val="Fußnotentext Zchn"/>
    <w:basedOn w:val="Absatz-Standardschriftart"/>
    <w:link w:val="Funotentext"/>
    <w:uiPriority w:val="99"/>
    <w:semiHidden/>
    <w:rPr>
      <w:sz w:val="18"/>
      <w:szCs w:val="20"/>
      <w:lang w:val="en-GB"/>
    </w:rPr>
  </w:style>
  <w:style w:type="paragraph" w:customStyle="1" w:styleId="KopfzeileDepartementFett">
    <w:name w:val="KopfzeileDepartementFett"/>
    <w:basedOn w:val="KopfzeileDepartement"/>
    <w:next w:val="Kopfzeile"/>
    <w:qFormat/>
    <w:pPr>
      <w:widowControl/>
    </w:pPr>
    <w:rPr>
      <w:b/>
    </w:rPr>
  </w:style>
  <w:style w:type="paragraph" w:customStyle="1" w:styleId="Begleitnotiz">
    <w:name w:val="Begleitnotiz"/>
    <w:basedOn w:val="Standard"/>
    <w:qFormat/>
    <w:pPr>
      <w:spacing w:line="240" w:lineRule="auto"/>
      <w:ind w:left="85"/>
    </w:pPr>
    <w:rPr>
      <w:sz w:val="18"/>
    </w:rPr>
  </w:style>
  <w:style w:type="paragraph" w:customStyle="1" w:styleId="Begleitnotiz2">
    <w:name w:val="Begleitnotiz2"/>
    <w:basedOn w:val="Begleitnotiz"/>
    <w:qFormat/>
    <w:rPr>
      <w:sz w:val="8"/>
    </w:rPr>
  </w:style>
  <w:style w:type="paragraph" w:customStyle="1" w:styleId="Absatz1Punkt">
    <w:name w:val="Absatz1Punkt"/>
    <w:basedOn w:val="Standard"/>
    <w:link w:val="Absatz1PunktZchn"/>
    <w:pPr>
      <w:spacing w:line="240" w:lineRule="auto"/>
    </w:pPr>
    <w:rPr>
      <w:rFonts w:cs="Arial"/>
      <w:sz w:val="2"/>
      <w:szCs w:val="20"/>
    </w:rPr>
  </w:style>
  <w:style w:type="character" w:customStyle="1" w:styleId="Absatz1PunktZchn">
    <w:name w:val="Absatz1Punkt Zchn"/>
    <w:basedOn w:val="Absatz-Standardschriftart"/>
    <w:link w:val="Absatz1Punkt"/>
    <w:rPr>
      <w:rFonts w:cs="Arial"/>
      <w:sz w:val="2"/>
      <w:szCs w:val="20"/>
      <w:lang w:val="en-GB"/>
    </w:rPr>
  </w:style>
  <w:style w:type="paragraph" w:customStyle="1" w:styleId="MMTitel">
    <w:name w:val="MM_Titel"/>
    <w:basedOn w:val="Standard"/>
    <w:pPr>
      <w:suppressAutoHyphens/>
      <w:spacing w:after="360" w:line="240" w:lineRule="auto"/>
    </w:pPr>
    <w:rPr>
      <w:b/>
      <w:sz w:val="42"/>
    </w:rPr>
  </w:style>
  <w:style w:type="paragraph" w:customStyle="1" w:styleId="MMLead">
    <w:name w:val="MM_Lead"/>
    <w:basedOn w:val="Standard"/>
    <w:next w:val="MMText"/>
    <w:qFormat/>
    <w:pPr>
      <w:spacing w:after="260" w:line="240" w:lineRule="auto"/>
    </w:pPr>
    <w:rPr>
      <w:b/>
      <w:sz w:val="24"/>
      <w:szCs w:val="20"/>
    </w:rPr>
  </w:style>
  <w:style w:type="paragraph" w:customStyle="1" w:styleId="MMText">
    <w:name w:val="MM_Text"/>
    <w:basedOn w:val="Standard"/>
    <w:qFormat/>
    <w:rPr>
      <w:sz w:val="24"/>
      <w:szCs w:val="20"/>
    </w:rPr>
  </w:style>
  <w:style w:type="paragraph" w:customStyle="1" w:styleId="Haupttitel">
    <w:name w:val="Haupttitel"/>
    <w:basedOn w:val="Standard"/>
    <w:next w:val="Standard"/>
    <w:qFormat/>
    <w:pPr>
      <w:spacing w:after="360" w:line="240" w:lineRule="auto"/>
    </w:pPr>
    <w:rPr>
      <w:sz w:val="42"/>
      <w:szCs w:val="20"/>
    </w:rPr>
  </w:style>
  <w:style w:type="paragraph" w:customStyle="1" w:styleId="MMZwischentitel">
    <w:name w:val="MM_Zwischentitel"/>
    <w:basedOn w:val="Standard"/>
    <w:next w:val="MMText"/>
    <w:qFormat/>
    <w:pPr>
      <w:spacing w:after="260" w:line="240" w:lineRule="auto"/>
    </w:pPr>
    <w:rPr>
      <w:b/>
      <w:sz w:val="24"/>
      <w:szCs w:val="20"/>
    </w:rPr>
  </w:style>
  <w:style w:type="paragraph" w:styleId="Listenabsatz">
    <w:name w:val="List Paragraph"/>
    <w:basedOn w:val="Standard"/>
    <w:uiPriority w:val="34"/>
    <w:qFormat/>
    <w:pPr>
      <w:ind w:left="720"/>
      <w:contextualSpacing/>
    </w:p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character" w:styleId="Hyperlink">
    <w:name w:val="Hyperlink"/>
    <w:basedOn w:val="Absatz-Standardschriftart"/>
    <w:uiPriority w:val="99"/>
    <w:unhideWhenUsed/>
    <w:rPr>
      <w:color w:val="0000FF" w:themeColor="hyperlink"/>
      <w:u w:val="single"/>
    </w:rPr>
  </w:style>
  <w:style w:type="character" w:styleId="BesuchterLink">
    <w:name w:val="FollowedHyperlink"/>
    <w:basedOn w:val="Absatz-Standardschriftart"/>
    <w:uiPriority w:val="99"/>
    <w:semiHidden/>
    <w:unhideWhenUse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C37D1F-0F69-4C1A-86A8-FE24B9C5A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1013</Words>
  <Characters>6387</Characters>
  <Application>Microsoft Office Word</Application>
  <DocSecurity>0</DocSecurity>
  <Lines>53</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lastModifiedBy/>
  <cp:revision>1</cp:revision>
  <dcterms:created xsi:type="dcterms:W3CDTF">2020-08-25T07:00:00Z</dcterms:created>
  <dcterms:modified xsi:type="dcterms:W3CDTF">2020-08-28T09:48:00Z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SIProp12DataClass+9d401f75-6608-41d3-bd1f-efe1542cdc01">
    <vt:lpwstr>v=1.2&gt;I=9d401f75-6608-41d3-bd1f-efe1542cdc01&amp;N=Confidential&amp;V=1.3&amp;U=S-1-5-21-3718294971-3193642644-4012788348-28455&amp;D=Odoni%2c+Sandro+(SGSA+1)&amp;A=Associated&amp;H=False</vt:lpwstr>
  </property>
  <property fmtid="{D5CDD505-2E9C-101B-9397-08002B2CF9AE}" pid="3" name="Classification">
    <vt:lpwstr>Confidential</vt:lpwstr>
  </property>
</Properties>
</file>